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F82397" w14:textId="77777777" w:rsidR="00F80F81" w:rsidRPr="00F97425" w:rsidRDefault="00F80F81" w:rsidP="00F80F81">
      <w:pPr>
        <w:pStyle w:val="Heading3"/>
        <w:spacing w:before="240"/>
      </w:pPr>
      <w:r w:rsidRPr="00F97425">
        <w:t>Preguntas fre</w:t>
      </w:r>
      <w:r w:rsidR="00A121F5">
        <w:t>cuentas acerca de Esfera y los p</w:t>
      </w:r>
      <w:r w:rsidRPr="00F97425">
        <w:t>rincipios de protección</w:t>
      </w:r>
    </w:p>
    <w:p w14:paraId="3D7A00EB" w14:textId="77777777" w:rsidR="00F80F81" w:rsidRPr="00F97425" w:rsidRDefault="00F80F81" w:rsidP="00F80F81">
      <w:pPr>
        <w:pStyle w:val="Heading5"/>
      </w:pPr>
      <w:r w:rsidRPr="00F97425">
        <w:t>¿Qué son los riesgos de protección?</w:t>
      </w:r>
    </w:p>
    <w:p w14:paraId="0C81FF88" w14:textId="6062D698" w:rsidR="00F80F81" w:rsidRPr="00F97425" w:rsidRDefault="00F80F81" w:rsidP="00F80F81">
      <w:r w:rsidRPr="00F97425">
        <w:t>Las amenazas a la seguridad y la dignidad de la población civil se llaman riesgos de protección.</w:t>
      </w:r>
      <w:r w:rsidR="009F71CB">
        <w:t xml:space="preserve"> </w:t>
      </w:r>
      <w:r w:rsidRPr="00F97425">
        <w:t>Incluyen amenazas de violencia, co</w:t>
      </w:r>
      <w:r w:rsidR="00E72DC7">
        <w:t>erc</w:t>
      </w:r>
      <w:r w:rsidRPr="00F97425">
        <w:t>ión y privación deliberada.</w:t>
      </w:r>
    </w:p>
    <w:p w14:paraId="7234B4CF" w14:textId="43CDF43D" w:rsidR="00F80F81" w:rsidRPr="00F97425" w:rsidRDefault="00F80F81" w:rsidP="00F80F81">
      <w:r w:rsidRPr="00F97425">
        <w:t xml:space="preserve">La violencia, o la amenaza de violencia, es una violación del derecho </w:t>
      </w:r>
      <w:r w:rsidR="008D02B4">
        <w:t>de los civiles</w:t>
      </w:r>
      <w:r w:rsidRPr="00F97425">
        <w:t xml:space="preserve"> a la integridad física, pero </w:t>
      </w:r>
      <w:r w:rsidR="00F97425" w:rsidRPr="00F97425">
        <w:t>también</w:t>
      </w:r>
      <w:r w:rsidRPr="00F97425">
        <w:t xml:space="preserve"> causa otras violaciones, al r</w:t>
      </w:r>
      <w:r w:rsidR="008D02B4">
        <w:t xml:space="preserve">estringir la capacidad de las </w:t>
      </w:r>
      <w:r w:rsidRPr="00F97425">
        <w:t>personas de cubrir sus propias necesidades (acceso a servicios de salud o ejercicio de una actividad de subsistencia, por ejemplo).</w:t>
      </w:r>
      <w:r w:rsidR="009F71CB">
        <w:t xml:space="preserve"> </w:t>
      </w:r>
      <w:r w:rsidRPr="00F97425">
        <w:t xml:space="preserve">La violencia puede llevar </w:t>
      </w:r>
      <w:r w:rsidR="0001418D">
        <w:t xml:space="preserve">al desplazamiento forzado dentro o fuera de las fronteras de </w:t>
      </w:r>
      <w:r w:rsidRPr="00F97425">
        <w:t>países, creando desplazados internos y refugiados.</w:t>
      </w:r>
      <w:r w:rsidR="009F71CB">
        <w:t xml:space="preserve"> </w:t>
      </w:r>
      <w:r w:rsidRPr="00F97425">
        <w:t xml:space="preserve">La violencia sexual también es una amenaza, especialmente para las mujeres. </w:t>
      </w:r>
    </w:p>
    <w:p w14:paraId="6B095013" w14:textId="77777777" w:rsidR="00F80F81" w:rsidRPr="00F97425" w:rsidRDefault="00F80F81" w:rsidP="00F80F81">
      <w:r w:rsidRPr="00F97425">
        <w:t>La c</w:t>
      </w:r>
      <w:r w:rsidR="00E72DC7">
        <w:t>oerc</w:t>
      </w:r>
      <w:r w:rsidRPr="00F97425">
        <w:t>ión es forzar a alguien a hacer algo en contra de su voluntad. La co</w:t>
      </w:r>
      <w:r w:rsidR="00E72DC7">
        <w:t>erción</w:t>
      </w:r>
      <w:r w:rsidRPr="00F97425">
        <w:t xml:space="preserve"> suele ocurrir cuando una persona con mayor control de y/o acceso a recursos, fuerza a otra persona a </w:t>
      </w:r>
      <w:r w:rsidRPr="00762D79">
        <w:rPr>
          <w:rStyle w:val="Emphasis"/>
          <w:b w:val="0"/>
        </w:rPr>
        <w:t>hacer</w:t>
      </w:r>
      <w:r w:rsidRPr="00762D79">
        <w:t xml:space="preserve"> algo en contra de su voluntad a fin de log</w:t>
      </w:r>
      <w:r w:rsidR="0001418D" w:rsidRPr="00762D79">
        <w:t>r</w:t>
      </w:r>
      <w:r w:rsidRPr="00762D79">
        <w:t>ar acceso a esos recursos.</w:t>
      </w:r>
      <w:r w:rsidRPr="00F97425">
        <w:t xml:space="preserve"> </w:t>
      </w:r>
    </w:p>
    <w:p w14:paraId="5F51D1E0" w14:textId="4D8466F4" w:rsidR="00F80F81" w:rsidRPr="00F97425" w:rsidRDefault="00F80F81" w:rsidP="00F80F81">
      <w:r w:rsidRPr="00F97425">
        <w:t>La privación deliberada es la restricción intencionada del acceso a recursos.</w:t>
      </w:r>
      <w:r w:rsidR="009F71CB">
        <w:t xml:space="preserve"> </w:t>
      </w:r>
      <w:r w:rsidRPr="00F97425">
        <w:t>También suele ocurrir cuando persona de mayor poder niega recursos materiales y otros recursos (p.ej. información o acceso) a alguien que es más vulnerable.</w:t>
      </w:r>
      <w:r w:rsidRPr="00F97425">
        <w:rPr>
          <w:rStyle w:val="FootnoteReference"/>
        </w:rPr>
        <w:footnoteReference w:id="1"/>
      </w:r>
    </w:p>
    <w:p w14:paraId="60ED6AA5" w14:textId="77777777" w:rsidR="00F80F81" w:rsidRPr="00F97425" w:rsidRDefault="00F80F81" w:rsidP="00F80F81">
      <w:pPr>
        <w:pStyle w:val="Heading5"/>
      </w:pPr>
      <w:r w:rsidRPr="00F97425">
        <w:t>¿Cuáles son los diferentes niveles de acción de las organizaciones en las tareas de protección?</w:t>
      </w:r>
    </w:p>
    <w:p w14:paraId="0F2127D7" w14:textId="77777777" w:rsidR="00F80F81" w:rsidRPr="00F97425" w:rsidRDefault="00F80F81" w:rsidP="00F80F81">
      <w:pPr>
        <w:spacing w:after="120"/>
      </w:pPr>
      <w:r w:rsidRPr="00F97425">
        <w:t>Los actores humanitarios pueden realizar tareas de protección a varios niveles:</w:t>
      </w:r>
    </w:p>
    <w:tbl>
      <w:tblPr>
        <w:tblW w:w="0" w:type="auto"/>
        <w:tblBorders>
          <w:top w:val="single" w:sz="4" w:space="0" w:color="87B91D"/>
          <w:left w:val="single" w:sz="4" w:space="0" w:color="87B91D"/>
          <w:bottom w:val="single" w:sz="4" w:space="0" w:color="87B91D"/>
          <w:right w:val="single" w:sz="4" w:space="0" w:color="87B91D"/>
          <w:insideH w:val="single" w:sz="4" w:space="0" w:color="87B91D"/>
          <w:insideV w:val="single" w:sz="4" w:space="0" w:color="87B91D"/>
        </w:tblBorders>
        <w:tblLayout w:type="fixed"/>
        <w:tblLook w:val="04A0" w:firstRow="1" w:lastRow="0" w:firstColumn="1" w:lastColumn="0" w:noHBand="0" w:noVBand="1"/>
      </w:tblPr>
      <w:tblGrid>
        <w:gridCol w:w="2376"/>
        <w:gridCol w:w="3686"/>
        <w:gridCol w:w="3566"/>
      </w:tblGrid>
      <w:tr w:rsidR="009F71CB" w:rsidRPr="00F97425" w14:paraId="64854EE8" w14:textId="77777777" w:rsidTr="009F71CB">
        <w:trPr>
          <w:cantSplit/>
          <w:tblHeader/>
        </w:trPr>
        <w:tc>
          <w:tcPr>
            <w:tcW w:w="2376" w:type="dxa"/>
            <w:shd w:val="clear" w:color="auto" w:fill="E9F7CB"/>
          </w:tcPr>
          <w:p w14:paraId="06022C2A" w14:textId="77777777" w:rsidR="00F80F81" w:rsidRPr="003B2134" w:rsidRDefault="00F80F81" w:rsidP="00C33B70">
            <w:pPr>
              <w:pStyle w:val="tableheading"/>
            </w:pPr>
            <w:r w:rsidRPr="003B2134">
              <w:t>Nivel de intervención</w:t>
            </w:r>
          </w:p>
        </w:tc>
        <w:tc>
          <w:tcPr>
            <w:tcW w:w="3686" w:type="dxa"/>
            <w:shd w:val="clear" w:color="auto" w:fill="E9F7CB"/>
          </w:tcPr>
          <w:p w14:paraId="1C64FE8F" w14:textId="77777777" w:rsidR="00F80F81" w:rsidRPr="003B2134" w:rsidRDefault="00F80F81" w:rsidP="00C33B70">
            <w:pPr>
              <w:pStyle w:val="tableheading"/>
            </w:pPr>
            <w:r w:rsidRPr="003B2134">
              <w:t>¿Qué significa?</w:t>
            </w:r>
          </w:p>
        </w:tc>
        <w:tc>
          <w:tcPr>
            <w:tcW w:w="3566" w:type="dxa"/>
            <w:shd w:val="clear" w:color="auto" w:fill="E9F7CB"/>
          </w:tcPr>
          <w:p w14:paraId="6986695F" w14:textId="77777777" w:rsidR="00F80F81" w:rsidRPr="003B2134" w:rsidRDefault="00F80F81" w:rsidP="00C33B70">
            <w:pPr>
              <w:pStyle w:val="tableheading"/>
            </w:pPr>
            <w:r w:rsidRPr="003B2134">
              <w:t>Ejemplos:</w:t>
            </w:r>
          </w:p>
        </w:tc>
      </w:tr>
      <w:tr w:rsidR="009F71CB" w:rsidRPr="00F97425" w14:paraId="16368C7C" w14:textId="77777777" w:rsidTr="009F71CB">
        <w:trPr>
          <w:cantSplit/>
        </w:trPr>
        <w:tc>
          <w:tcPr>
            <w:tcW w:w="2376" w:type="dxa"/>
            <w:shd w:val="clear" w:color="auto" w:fill="auto"/>
          </w:tcPr>
          <w:p w14:paraId="6930FB9C" w14:textId="77777777" w:rsidR="00F80F81" w:rsidRPr="00F97425" w:rsidRDefault="00F80F81" w:rsidP="00F80F81">
            <w:pPr>
              <w:pStyle w:val="table"/>
            </w:pPr>
            <w:r w:rsidRPr="00F97425">
              <w:t>Programación de protección independiente</w:t>
            </w:r>
          </w:p>
        </w:tc>
        <w:tc>
          <w:tcPr>
            <w:tcW w:w="3686" w:type="dxa"/>
            <w:shd w:val="clear" w:color="auto" w:fill="auto"/>
          </w:tcPr>
          <w:p w14:paraId="17318E01" w14:textId="0A979B43" w:rsidR="00F80F81" w:rsidRPr="00F97425" w:rsidRDefault="00F80F81" w:rsidP="00F32298">
            <w:pPr>
              <w:pStyle w:val="table"/>
            </w:pPr>
            <w:r w:rsidRPr="00F97425">
              <w:t>Generalmente esto es de gran escala y alcance</w:t>
            </w:r>
            <w:r w:rsidR="00F32298">
              <w:t xml:space="preserve"> y</w:t>
            </w:r>
            <w:r w:rsidRPr="00F97425">
              <w:t xml:space="preserve"> el objetivo primordial es la protección. Tales programas tienden a centrarse en una de las siguientes áreas esenciales, y se llevan a cabo por organizaciones con experiencia en la protección (prevención y respuesta a violencia de género; protección de los niños; la vivienda, la tierra y el patrimonio; la acción contra las minas; el estado de derecho y</w:t>
            </w:r>
            <w:r w:rsidR="009F71CB">
              <w:t xml:space="preserve"> </w:t>
            </w:r>
            <w:r w:rsidRPr="00F97425">
              <w:t>la justicia).</w:t>
            </w:r>
          </w:p>
        </w:tc>
        <w:tc>
          <w:tcPr>
            <w:tcW w:w="3566" w:type="dxa"/>
            <w:shd w:val="clear" w:color="auto" w:fill="auto"/>
          </w:tcPr>
          <w:p w14:paraId="63217947" w14:textId="77777777" w:rsidR="00F80F81" w:rsidRPr="00F97425" w:rsidRDefault="00F80F81" w:rsidP="00F80F81">
            <w:pPr>
              <w:pStyle w:val="table"/>
            </w:pPr>
            <w:r w:rsidRPr="00F97425">
              <w:t>Ejemplos de programas independientes incluyen espacios infantiles en campamentos; una respuesta a la violencia de género que apoya los servicios legales, médicos, de seguridad y psicosociales para los supervivientes de la violencia de género</w:t>
            </w:r>
            <w:r w:rsidR="00C86EF1">
              <w:t xml:space="preserve">; o un programa de búsqueda </w:t>
            </w:r>
            <w:r w:rsidRPr="00F97425">
              <w:t>y reunificación de familias.</w:t>
            </w:r>
          </w:p>
        </w:tc>
      </w:tr>
      <w:tr w:rsidR="009F71CB" w:rsidRPr="00F97425" w14:paraId="6EE95142" w14:textId="77777777" w:rsidTr="009F71CB">
        <w:trPr>
          <w:cantSplit/>
        </w:trPr>
        <w:tc>
          <w:tcPr>
            <w:tcW w:w="2376" w:type="dxa"/>
            <w:shd w:val="clear" w:color="auto" w:fill="auto"/>
          </w:tcPr>
          <w:p w14:paraId="45B835E8" w14:textId="77777777" w:rsidR="00F80F81" w:rsidRPr="00F97425" w:rsidRDefault="00F80F81" w:rsidP="00F80F81">
            <w:pPr>
              <w:pStyle w:val="table"/>
            </w:pPr>
            <w:r w:rsidRPr="00F97425">
              <w:t>Protección integrada</w:t>
            </w:r>
          </w:p>
        </w:tc>
        <w:tc>
          <w:tcPr>
            <w:tcW w:w="3686" w:type="dxa"/>
            <w:shd w:val="clear" w:color="auto" w:fill="auto"/>
          </w:tcPr>
          <w:p w14:paraId="46F8DC59" w14:textId="77777777" w:rsidR="00F80F81" w:rsidRPr="00F97425" w:rsidRDefault="00F80F81" w:rsidP="00F80F81">
            <w:pPr>
              <w:pStyle w:val="table"/>
            </w:pPr>
            <w:r w:rsidRPr="00F97425">
              <w:t>Algunas actividades o proyectos de protección específicos se integ</w:t>
            </w:r>
            <w:r w:rsidR="00EF3932">
              <w:t xml:space="preserve">ran en un programa más amplio. </w:t>
            </w:r>
            <w:r w:rsidRPr="00F97425">
              <w:t xml:space="preserve">Normalmente, el objetivo general del programa no estará relacionado con la protección. </w:t>
            </w:r>
          </w:p>
        </w:tc>
        <w:tc>
          <w:tcPr>
            <w:tcW w:w="3566" w:type="dxa"/>
            <w:shd w:val="clear" w:color="auto" w:fill="auto"/>
          </w:tcPr>
          <w:p w14:paraId="542A1EB8" w14:textId="7558D196" w:rsidR="00F80F81" w:rsidRPr="00F97425" w:rsidRDefault="00F80F81" w:rsidP="00F80F81">
            <w:pPr>
              <w:pStyle w:val="table"/>
            </w:pPr>
            <w:r w:rsidRPr="00F97425">
              <w:t xml:space="preserve">Las actividades </w:t>
            </w:r>
            <w:r w:rsidR="009F71CB">
              <w:t>“</w:t>
            </w:r>
            <w:r w:rsidRPr="00F97425">
              <w:t>integradas</w:t>
            </w:r>
            <w:r w:rsidR="009F71CB">
              <w:t>”</w:t>
            </w:r>
            <w:r w:rsidRPr="00F97425">
              <w:t xml:space="preserve"> típicas podrían incluir la monitorización e información de riesgos de protección; incidencia (</w:t>
            </w:r>
            <w:proofErr w:type="spellStart"/>
            <w:r w:rsidRPr="003B2134">
              <w:rPr>
                <w:i/>
              </w:rPr>
              <w:t>advocacy</w:t>
            </w:r>
            <w:proofErr w:type="spellEnd"/>
            <w:r w:rsidRPr="00F97425">
              <w:t>) sobre la protección; o el establecimiento de sistemas de referencia coordinados, para conectar a los necesitados con los servicio</w:t>
            </w:r>
            <w:r w:rsidR="002F08D2">
              <w:t>s de protección. Un enfoque de p</w:t>
            </w:r>
            <w:r w:rsidRPr="00F97425">
              <w:t xml:space="preserve">rotección integrada podría incluir un pequeño proyecto de protección centrado en sesiones de concienciación sobre los derechos, como parte de una intervención de abastecimiento de agua, saneamiento y promoción de la higiene (WASH) de mayor envergadura, por ejemplo. </w:t>
            </w:r>
          </w:p>
        </w:tc>
      </w:tr>
      <w:tr w:rsidR="009F71CB" w:rsidRPr="00F97425" w14:paraId="12CBA674" w14:textId="77777777" w:rsidTr="009F71CB">
        <w:trPr>
          <w:cantSplit/>
        </w:trPr>
        <w:tc>
          <w:tcPr>
            <w:tcW w:w="2376" w:type="dxa"/>
            <w:shd w:val="clear" w:color="auto" w:fill="auto"/>
          </w:tcPr>
          <w:p w14:paraId="07DF37B5" w14:textId="77777777" w:rsidR="00F80F81" w:rsidRPr="00F97425" w:rsidRDefault="00F80F81" w:rsidP="00F80F81">
            <w:pPr>
              <w:pStyle w:val="table"/>
            </w:pPr>
            <w:r w:rsidRPr="00F97425">
              <w:lastRenderedPageBreak/>
              <w:t xml:space="preserve">La protección como enfoque (integración) </w:t>
            </w:r>
          </w:p>
        </w:tc>
        <w:tc>
          <w:tcPr>
            <w:tcW w:w="3686" w:type="dxa"/>
            <w:shd w:val="clear" w:color="auto" w:fill="auto"/>
          </w:tcPr>
          <w:p w14:paraId="1968CF6E" w14:textId="34EC0B7F" w:rsidR="00F80F81" w:rsidRPr="00F97425" w:rsidRDefault="00F80F81" w:rsidP="00F80F81">
            <w:pPr>
              <w:pStyle w:val="table"/>
            </w:pPr>
            <w:r w:rsidRPr="00F97425">
              <w:t>La protección a este nivel se centra en cómo se realizan los proyectos o programas.</w:t>
            </w:r>
            <w:r w:rsidR="009F71CB">
              <w:t xml:space="preserve"> </w:t>
            </w:r>
            <w:r w:rsidRPr="00F97425">
              <w:t xml:space="preserve">Esencialmente, consiste en una programación de buena calidad. </w:t>
            </w:r>
          </w:p>
        </w:tc>
        <w:tc>
          <w:tcPr>
            <w:tcW w:w="3566" w:type="dxa"/>
            <w:shd w:val="clear" w:color="auto" w:fill="auto"/>
          </w:tcPr>
          <w:p w14:paraId="64EA7D09" w14:textId="77777777" w:rsidR="00F80F81" w:rsidRPr="00F97425" w:rsidRDefault="00F80F81" w:rsidP="00F80F81">
            <w:pPr>
              <w:pStyle w:val="table"/>
            </w:pPr>
            <w:r w:rsidRPr="00F97425">
              <w:t>El Clúster mundial de protección (GPC) define la integración de la protección como el proceso de incorporar principios de protección y promover la seguridad, la dignidad y el acceso significativos en toda la ayuda humanitaria.</w:t>
            </w:r>
          </w:p>
        </w:tc>
      </w:tr>
    </w:tbl>
    <w:p w14:paraId="29BD5E00" w14:textId="77777777" w:rsidR="0086550C" w:rsidRPr="00F97425" w:rsidRDefault="0086550C" w:rsidP="0086550C">
      <w:pPr>
        <w:jc w:val="right"/>
        <w:rPr>
          <w:i/>
          <w:sz w:val="20"/>
          <w:szCs w:val="20"/>
        </w:rPr>
      </w:pPr>
      <w:r w:rsidRPr="00F97425">
        <w:rPr>
          <w:i/>
          <w:sz w:val="20"/>
          <w:szCs w:val="20"/>
        </w:rPr>
        <w:t xml:space="preserve">Adaptación del Manual </w:t>
      </w:r>
      <w:proofErr w:type="spellStart"/>
      <w:r w:rsidRPr="00F97425">
        <w:rPr>
          <w:i/>
          <w:sz w:val="20"/>
          <w:szCs w:val="20"/>
        </w:rPr>
        <w:t>Trocaire</w:t>
      </w:r>
      <w:proofErr w:type="spellEnd"/>
      <w:r w:rsidRPr="00F97425">
        <w:rPr>
          <w:i/>
          <w:sz w:val="20"/>
          <w:szCs w:val="20"/>
        </w:rPr>
        <w:t xml:space="preserve"> de protección humanitaria 2014 p.6 </w:t>
      </w:r>
    </w:p>
    <w:p w14:paraId="60CBDFC5" w14:textId="13C92A71" w:rsidR="0086550C" w:rsidRPr="00F97425" w:rsidRDefault="0086550C" w:rsidP="0086550C">
      <w:pPr>
        <w:pStyle w:val="Heading5"/>
      </w:pPr>
      <w:r w:rsidRPr="00F97425">
        <w:t xml:space="preserve">¿A qué se refiere la expresión </w:t>
      </w:r>
      <w:r w:rsidR="009F71CB">
        <w:t>“</w:t>
      </w:r>
      <w:r w:rsidRPr="00F97425">
        <w:t>los muertos bien alimentados</w:t>
      </w:r>
      <w:r w:rsidR="009F71CB">
        <w:t>”</w:t>
      </w:r>
      <w:r w:rsidRPr="00F97425">
        <w:t>?</w:t>
      </w:r>
    </w:p>
    <w:p w14:paraId="08546422" w14:textId="27CD4289" w:rsidR="0086550C" w:rsidRPr="00F97425" w:rsidRDefault="0086550C" w:rsidP="0086550C">
      <w:r w:rsidRPr="00F97425">
        <w:t xml:space="preserve">La expresión </w:t>
      </w:r>
      <w:r w:rsidR="009F71CB">
        <w:t>“</w:t>
      </w:r>
      <w:r w:rsidRPr="00F97425">
        <w:t>los muertos bien alimentados</w:t>
      </w:r>
      <w:r w:rsidR="009F71CB">
        <w:t>”</w:t>
      </w:r>
      <w:r w:rsidRPr="00F97425">
        <w:t xml:space="preserve"> (</w:t>
      </w:r>
      <w:r w:rsidRPr="00F97425">
        <w:rPr>
          <w:i/>
        </w:rPr>
        <w:t xml:space="preserve">the </w:t>
      </w:r>
      <w:proofErr w:type="spellStart"/>
      <w:r w:rsidRPr="00F97425">
        <w:rPr>
          <w:i/>
        </w:rPr>
        <w:t>well-fed</w:t>
      </w:r>
      <w:proofErr w:type="spellEnd"/>
      <w:r w:rsidRPr="00F97425">
        <w:rPr>
          <w:i/>
        </w:rPr>
        <w:t xml:space="preserve"> </w:t>
      </w:r>
      <w:proofErr w:type="spellStart"/>
      <w:r w:rsidRPr="00F97425">
        <w:rPr>
          <w:i/>
        </w:rPr>
        <w:t>dead</w:t>
      </w:r>
      <w:proofErr w:type="spellEnd"/>
      <w:r w:rsidR="002F08D2">
        <w:t>), tomada de un informe</w:t>
      </w:r>
      <w:r w:rsidRPr="00F97425">
        <w:t xml:space="preserve"> del New York Times del 15 de julio de 1992 acerca de la guerra de Bosnia</w:t>
      </w:r>
      <w:r w:rsidR="009F71CB">
        <w:t xml:space="preserve"> </w:t>
      </w:r>
      <w:r w:rsidRPr="00F97425">
        <w:t>se utiliza frecuentemente para reflejar las preocupaciones acerca de la protección que tiene la población civil en tiempos de crisis humanitarias.</w:t>
      </w:r>
      <w:r w:rsidR="009F71CB">
        <w:t xml:space="preserve"> </w:t>
      </w:r>
      <w:r w:rsidRPr="00F97425">
        <w:t>La frase indica que no es suficiente distribuir comida, medicinas y alojamiento sin también tomar en consideración las necesidades de protección y seguridad que pueda tener la población civil. La comunidad internacional es ahora consciente de que tenemos que pensar más allá de la distribución a secas: la comida no dará seguridad a los civiles; el agua no prevendrá violaciones ni violencia sexual.</w:t>
      </w:r>
      <w:r w:rsidRPr="00F97425">
        <w:rPr>
          <w:rStyle w:val="FootnoteReference"/>
        </w:rPr>
        <w:footnoteReference w:id="2"/>
      </w:r>
    </w:p>
    <w:p w14:paraId="28921E7B" w14:textId="3DA5EA7A" w:rsidR="0086550C" w:rsidRPr="00F97425" w:rsidRDefault="0086550C" w:rsidP="0086550C">
      <w:pPr>
        <w:pStyle w:val="Heading5"/>
      </w:pPr>
      <w:r w:rsidRPr="00F97425">
        <w:t xml:space="preserve">¿Cuál es el vínculo entre la expresión </w:t>
      </w:r>
      <w:r w:rsidR="009F71CB">
        <w:t>“</w:t>
      </w:r>
      <w:r w:rsidRPr="00F97425">
        <w:t>No causar daño</w:t>
      </w:r>
      <w:r w:rsidR="009F71CB">
        <w:t>”</w:t>
      </w:r>
      <w:r w:rsidRPr="00F97425">
        <w:t xml:space="preserve"> y los </w:t>
      </w:r>
      <w:r w:rsidR="00A121F5">
        <w:t>Principios</w:t>
      </w:r>
      <w:r w:rsidRPr="00F97425">
        <w:t xml:space="preserve"> de protección?</w:t>
      </w:r>
    </w:p>
    <w:p w14:paraId="08A81C05" w14:textId="072C1A84" w:rsidR="0086550C" w:rsidRPr="00F97425" w:rsidRDefault="0086550C" w:rsidP="0086550C">
      <w:r w:rsidRPr="00F97425">
        <w:t>Cada vez más, la comunidad internacional está empezando a reconocer el potencial impacto negativo de la ayuda humanitaria sobre la seguridad de los civiles. La asistencia puede exponer a la población civil a mayores niveles de peligro si sus necesidades de seguridad y protección no se consideran también (p.ej. la ubicación de letrinas, o la organización de las distribuciones de forma que exacerba las desigualdades).</w:t>
      </w:r>
      <w:r w:rsidR="009F71CB">
        <w:t xml:space="preserve"> </w:t>
      </w:r>
      <w:r w:rsidRPr="00F97425">
        <w:t>Continuar proporcionando asistencia humanitaria a las personas en una crisis sin abordar los actos voluntarios de violencia contra ellos nos expone a crear una situación en la que las organizaciones humanitarias se convierten, en el mejor de los casos, en parte de la coartada para la inacción política, y en el peor de los casos, en cómplices de perpetuar una cultura de impunidad para los abusos.</w:t>
      </w:r>
    </w:p>
    <w:p w14:paraId="34479C4C" w14:textId="77777777" w:rsidR="0086550C" w:rsidRPr="00F97425" w:rsidRDefault="0086550C" w:rsidP="0086550C">
      <w:pPr>
        <w:pStyle w:val="Heading5"/>
      </w:pPr>
      <w:r w:rsidRPr="00F97425">
        <w:t>¿Cuál es el límite para el tipo de protección que proporcionan las partes interesadas humanitarias?</w:t>
      </w:r>
    </w:p>
    <w:p w14:paraId="3A43D717" w14:textId="77777777" w:rsidR="0086550C" w:rsidRPr="00F97425" w:rsidRDefault="0086550C" w:rsidP="0086550C">
      <w:r w:rsidRPr="00F97425">
        <w:t xml:space="preserve">Como explica James </w:t>
      </w:r>
      <w:proofErr w:type="spellStart"/>
      <w:r w:rsidRPr="00F97425">
        <w:t>Darcy</w:t>
      </w:r>
      <w:proofErr w:type="spellEnd"/>
      <w:r w:rsidRPr="00F97425">
        <w:t>, el sistema humanitario podría poder influir en lo que ocurre, directa o indirectamente, a través de la incidencia (</w:t>
      </w:r>
      <w:proofErr w:type="spellStart"/>
      <w:r w:rsidRPr="00F97425">
        <w:rPr>
          <w:i/>
        </w:rPr>
        <w:t>advocacy</w:t>
      </w:r>
      <w:proofErr w:type="spellEnd"/>
      <w:r w:rsidRPr="00F97425">
        <w:t>) o de otra forma, pero sería una falacia pensar que si hacemos un buen trabajo como actores humanitarios, entonces las personas estarán seguras. No hay ningún sistema de protección que realmente pueda proteger a las personas si las partes combatientes no están motivadas a hacerlo ellas mismas.</w:t>
      </w:r>
      <w:r w:rsidRPr="00F97425">
        <w:rPr>
          <w:rStyle w:val="FootnoteReference"/>
        </w:rPr>
        <w:footnoteReference w:id="3"/>
      </w:r>
    </w:p>
    <w:p w14:paraId="579F7222" w14:textId="77777777" w:rsidR="00F80F81" w:rsidRPr="00F97425" w:rsidRDefault="00F80F81" w:rsidP="00F80F81"/>
    <w:p w14:paraId="1AEA67F5" w14:textId="77777777" w:rsidR="00F961DF" w:rsidRPr="00F97425" w:rsidRDefault="00F961DF" w:rsidP="00F961DF"/>
    <w:p w14:paraId="2DA2E12B" w14:textId="77777777" w:rsidR="003918D7" w:rsidRPr="00F97425" w:rsidRDefault="003918D7" w:rsidP="00267AF2">
      <w:pPr>
        <w:rPr>
          <w:rStyle w:val="Hyperlink"/>
        </w:rPr>
      </w:pPr>
    </w:p>
    <w:p w14:paraId="5CA50D2E" w14:textId="77777777" w:rsidR="00F961DF" w:rsidRPr="00F97425" w:rsidRDefault="00F961DF" w:rsidP="00267AF2">
      <w:pPr>
        <w:rPr>
          <w:rStyle w:val="Hyperlink"/>
        </w:rPr>
      </w:pPr>
    </w:p>
    <w:p w14:paraId="42F78064" w14:textId="77777777" w:rsidR="00700614" w:rsidRPr="00F97425" w:rsidRDefault="00700614" w:rsidP="00267AF2">
      <w:pPr>
        <w:sectPr w:rsidR="00700614" w:rsidRPr="00F97425" w:rsidSect="00F51600">
          <w:headerReference w:type="even" r:id="rId7"/>
          <w:headerReference w:type="default" r:id="rId8"/>
          <w:footerReference w:type="even" r:id="rId9"/>
          <w:footerReference w:type="default" r:id="rId10"/>
          <w:headerReference w:type="first" r:id="rId11"/>
          <w:footerReference w:type="first" r:id="rId12"/>
          <w:type w:val="continuous"/>
          <w:pgSz w:w="11906" w:h="16838"/>
          <w:pgMar w:top="1418" w:right="1247" w:bottom="851" w:left="1247" w:header="709" w:footer="454" w:gutter="0"/>
          <w:cols w:space="720"/>
          <w:titlePg/>
          <w:docGrid w:linePitch="360"/>
        </w:sectPr>
      </w:pPr>
    </w:p>
    <w:p w14:paraId="2C055EA3" w14:textId="77777777" w:rsidR="0052647A" w:rsidRPr="00F97425" w:rsidRDefault="0052647A" w:rsidP="00697502">
      <w:pPr>
        <w:spacing w:before="0" w:line="40" w:lineRule="exact"/>
      </w:pPr>
    </w:p>
    <w:tbl>
      <w:tblPr>
        <w:tblW w:w="0" w:type="auto"/>
        <w:tblBorders>
          <w:top w:val="dashed" w:sz="6" w:space="0" w:color="579305"/>
          <w:left w:val="dashed" w:sz="6" w:space="0" w:color="579305"/>
          <w:bottom w:val="dashed" w:sz="6" w:space="0" w:color="579305"/>
          <w:right w:val="dashed" w:sz="6" w:space="0" w:color="579305"/>
          <w:insideH w:val="dashed" w:sz="6" w:space="0" w:color="579305"/>
          <w:insideV w:val="dashed" w:sz="6" w:space="0" w:color="579305"/>
        </w:tblBorders>
        <w:tblLayout w:type="fixed"/>
        <w:tblLook w:val="04A0" w:firstRow="1" w:lastRow="0" w:firstColumn="1" w:lastColumn="0" w:noHBand="0" w:noVBand="1"/>
      </w:tblPr>
      <w:tblGrid>
        <w:gridCol w:w="3697"/>
        <w:gridCol w:w="3697"/>
        <w:gridCol w:w="3697"/>
        <w:gridCol w:w="3697"/>
      </w:tblGrid>
      <w:tr w:rsidR="003C6D92" w:rsidRPr="00F97425" w14:paraId="7AF1D73D" w14:textId="77777777" w:rsidTr="003B2134">
        <w:trPr>
          <w:cantSplit/>
          <w:trHeight w:val="1814"/>
        </w:trPr>
        <w:tc>
          <w:tcPr>
            <w:tcW w:w="3697" w:type="dxa"/>
            <w:shd w:val="clear" w:color="auto" w:fill="auto"/>
            <w:vAlign w:val="center"/>
          </w:tcPr>
          <w:p w14:paraId="650C52AD" w14:textId="77777777" w:rsidR="003C6D92" w:rsidRPr="00F97425" w:rsidRDefault="003C6D92" w:rsidP="003C6D92">
            <w:pPr>
              <w:pStyle w:val="bigtable"/>
            </w:pPr>
            <w:r w:rsidRPr="00F97425">
              <w:t>Consultar con los diferentes segmentos de la población afectada a la hora de evaluar las consecuencias positivas y las posibles consecuencias negativas de la respuesta en general</w:t>
            </w:r>
          </w:p>
        </w:tc>
        <w:tc>
          <w:tcPr>
            <w:tcW w:w="3697" w:type="dxa"/>
            <w:shd w:val="clear" w:color="auto" w:fill="auto"/>
            <w:vAlign w:val="center"/>
          </w:tcPr>
          <w:p w14:paraId="24CCB148" w14:textId="77777777" w:rsidR="003C6D92" w:rsidRPr="00F97425" w:rsidRDefault="003C6D92" w:rsidP="003C6D92">
            <w:pPr>
              <w:pStyle w:val="bigtable"/>
            </w:pPr>
            <w:r w:rsidRPr="00F97425">
              <w:t>Asegurar que su programa protege los derechos de las personas marginadas</w:t>
            </w:r>
          </w:p>
        </w:tc>
        <w:tc>
          <w:tcPr>
            <w:tcW w:w="3697" w:type="dxa"/>
            <w:shd w:val="clear" w:color="auto" w:fill="auto"/>
            <w:vAlign w:val="center"/>
          </w:tcPr>
          <w:p w14:paraId="5BB9E95A" w14:textId="77777777" w:rsidR="003C6D92" w:rsidRPr="00F97425" w:rsidRDefault="003C6D92" w:rsidP="003C6D92">
            <w:pPr>
              <w:pStyle w:val="bigtable"/>
            </w:pPr>
            <w:r w:rsidRPr="00F97425">
              <w:t>Implementar medidas para reducir el riesgo de la violencia de género</w:t>
            </w:r>
          </w:p>
        </w:tc>
        <w:tc>
          <w:tcPr>
            <w:tcW w:w="3697" w:type="dxa"/>
            <w:shd w:val="clear" w:color="auto" w:fill="auto"/>
            <w:vAlign w:val="center"/>
          </w:tcPr>
          <w:p w14:paraId="063A0581" w14:textId="77777777" w:rsidR="003C6D92" w:rsidRPr="00F97425" w:rsidRDefault="003C6D92" w:rsidP="003C6D92">
            <w:pPr>
              <w:pStyle w:val="bigtable"/>
            </w:pPr>
            <w:r w:rsidRPr="00F97425">
              <w:t>Trabajar con las autoridades relevantes para obtener documentación perdida</w:t>
            </w:r>
          </w:p>
        </w:tc>
      </w:tr>
      <w:tr w:rsidR="003C6D92" w:rsidRPr="00F97425" w14:paraId="36695D93" w14:textId="77777777" w:rsidTr="003B2134">
        <w:trPr>
          <w:cantSplit/>
          <w:trHeight w:val="1814"/>
        </w:trPr>
        <w:tc>
          <w:tcPr>
            <w:tcW w:w="3697" w:type="dxa"/>
            <w:shd w:val="clear" w:color="auto" w:fill="auto"/>
            <w:vAlign w:val="center"/>
          </w:tcPr>
          <w:p w14:paraId="2ADB33E6" w14:textId="77777777" w:rsidR="003C6D92" w:rsidRPr="00F97425" w:rsidRDefault="003C6D92" w:rsidP="003C6D92">
            <w:pPr>
              <w:pStyle w:val="bigtable"/>
            </w:pPr>
            <w:r w:rsidRPr="00F97425">
              <w:t>Procurar que las personas no tengan que viajar a través de zonas peligrosas para acceder a la asistencia</w:t>
            </w:r>
          </w:p>
        </w:tc>
        <w:tc>
          <w:tcPr>
            <w:tcW w:w="3697" w:type="dxa"/>
            <w:shd w:val="clear" w:color="auto" w:fill="auto"/>
            <w:vAlign w:val="center"/>
          </w:tcPr>
          <w:p w14:paraId="3662D865" w14:textId="77777777" w:rsidR="003C6D92" w:rsidRPr="00F97425" w:rsidRDefault="003C6D92" w:rsidP="003C6D92">
            <w:pPr>
              <w:pStyle w:val="bigtable"/>
            </w:pPr>
            <w:r w:rsidRPr="00F97425">
              <w:t xml:space="preserve">Monitorizar el acceso de la población afectada a la asistencia </w:t>
            </w:r>
            <w:proofErr w:type="spellStart"/>
            <w:r w:rsidR="002F08D2">
              <w:t>humanitarian</w:t>
            </w:r>
            <w:proofErr w:type="spellEnd"/>
          </w:p>
        </w:tc>
        <w:tc>
          <w:tcPr>
            <w:tcW w:w="3697" w:type="dxa"/>
            <w:shd w:val="clear" w:color="auto" w:fill="auto"/>
            <w:vAlign w:val="center"/>
          </w:tcPr>
          <w:p w14:paraId="09146C5E" w14:textId="77777777" w:rsidR="003C6D92" w:rsidRPr="00F97425" w:rsidRDefault="003C6D92" w:rsidP="003C6D92">
            <w:pPr>
              <w:pStyle w:val="bigtable"/>
            </w:pPr>
            <w:r w:rsidRPr="00F97425">
              <w:t>Considerar incidir por los derechos de las poblaciones afectadas con las autoridades y los actores relevantes, recordándoles sus obligaciones</w:t>
            </w:r>
          </w:p>
        </w:tc>
        <w:tc>
          <w:tcPr>
            <w:tcW w:w="3697" w:type="dxa"/>
            <w:shd w:val="clear" w:color="auto" w:fill="auto"/>
            <w:vAlign w:val="center"/>
          </w:tcPr>
          <w:p w14:paraId="6F8E052C" w14:textId="77777777" w:rsidR="003C6D92" w:rsidRPr="00F97425" w:rsidRDefault="003C6D92" w:rsidP="003C6D92">
            <w:pPr>
              <w:pStyle w:val="bigtable"/>
            </w:pPr>
            <w:r w:rsidRPr="00F97425">
              <w:t>Informar a las personas afectadas de sus derechos dentro de un programa de ayuda concreto</w:t>
            </w:r>
          </w:p>
        </w:tc>
      </w:tr>
      <w:tr w:rsidR="003C6D92" w:rsidRPr="00F97425" w14:paraId="02593045" w14:textId="77777777" w:rsidTr="003B2134">
        <w:trPr>
          <w:cantSplit/>
          <w:trHeight w:val="1814"/>
        </w:trPr>
        <w:tc>
          <w:tcPr>
            <w:tcW w:w="3697" w:type="dxa"/>
            <w:shd w:val="clear" w:color="auto" w:fill="auto"/>
            <w:vAlign w:val="center"/>
          </w:tcPr>
          <w:p w14:paraId="03379C29" w14:textId="77777777" w:rsidR="003C6D92" w:rsidRPr="00F97425" w:rsidRDefault="003C6D92" w:rsidP="003C6D92">
            <w:pPr>
              <w:pStyle w:val="bigtable"/>
            </w:pPr>
            <w:r w:rsidRPr="00F97425">
              <w:t>Adaptar las formas en las que se proporciona la asistencia a fin de minimizar el riesgo de saqueo y la consecuente violencia</w:t>
            </w:r>
          </w:p>
        </w:tc>
        <w:tc>
          <w:tcPr>
            <w:tcW w:w="3697" w:type="dxa"/>
            <w:shd w:val="clear" w:color="auto" w:fill="auto"/>
            <w:vAlign w:val="center"/>
          </w:tcPr>
          <w:p w14:paraId="076E7683" w14:textId="77777777" w:rsidR="003C6D92" w:rsidRPr="00F97425" w:rsidRDefault="00792013" w:rsidP="00792013">
            <w:pPr>
              <w:pStyle w:val="bigtable"/>
            </w:pPr>
            <w:r>
              <w:t>Promover el respeto del derecho relevante</w:t>
            </w:r>
            <w:r w:rsidR="002779C7">
              <w:t xml:space="preserve"> </w:t>
            </w:r>
            <w:r w:rsidR="003C6D92" w:rsidRPr="00F97425">
              <w:t>en caso de que se niegue la asistencia a la población afectada</w:t>
            </w:r>
          </w:p>
        </w:tc>
        <w:tc>
          <w:tcPr>
            <w:tcW w:w="3697" w:type="dxa"/>
            <w:shd w:val="clear" w:color="auto" w:fill="auto"/>
            <w:vAlign w:val="center"/>
          </w:tcPr>
          <w:p w14:paraId="33C53A1D" w14:textId="77777777" w:rsidR="003C6D92" w:rsidRPr="00F97425" w:rsidRDefault="003C6D92" w:rsidP="003C6D92">
            <w:pPr>
              <w:pStyle w:val="bigtable"/>
            </w:pPr>
            <w:r w:rsidRPr="00F97425">
              <w:t>Coordinar con las autoridades gubernamentales y las age</w:t>
            </w:r>
            <w:r w:rsidR="005F616B">
              <w:t xml:space="preserve">ncias especializadas </w:t>
            </w:r>
            <w:r w:rsidRPr="00F97425">
              <w:t>la retirada de minas y municiones no explotadas</w:t>
            </w:r>
          </w:p>
        </w:tc>
        <w:tc>
          <w:tcPr>
            <w:tcW w:w="3697" w:type="dxa"/>
            <w:shd w:val="clear" w:color="auto" w:fill="auto"/>
            <w:vAlign w:val="center"/>
          </w:tcPr>
          <w:p w14:paraId="30532FB0" w14:textId="77777777" w:rsidR="003C6D92" w:rsidRPr="00F97425" w:rsidRDefault="003C6D92" w:rsidP="003C6D92">
            <w:pPr>
              <w:pStyle w:val="bigtable"/>
            </w:pPr>
            <w:r w:rsidRPr="00F97425">
              <w:t>Informar a la población afectada utilizando un lenguaje y una forma que puedan comprender</w:t>
            </w:r>
          </w:p>
        </w:tc>
      </w:tr>
      <w:tr w:rsidR="003C6D92" w:rsidRPr="00F97425" w14:paraId="772027B3" w14:textId="77777777" w:rsidTr="003B2134">
        <w:trPr>
          <w:cantSplit/>
          <w:trHeight w:val="1814"/>
        </w:trPr>
        <w:tc>
          <w:tcPr>
            <w:tcW w:w="3697" w:type="dxa"/>
            <w:shd w:val="clear" w:color="auto" w:fill="auto"/>
            <w:vAlign w:val="center"/>
          </w:tcPr>
          <w:p w14:paraId="329D812D" w14:textId="77777777" w:rsidR="003C6D92" w:rsidRPr="00F97425" w:rsidRDefault="003C6D92" w:rsidP="003C6D92">
            <w:pPr>
              <w:pStyle w:val="bigtable"/>
            </w:pPr>
            <w:r w:rsidRPr="00F97425">
              <w:t>Construir campamentos de DI y refugiados en zonas alejadas del conflicto</w:t>
            </w:r>
          </w:p>
        </w:tc>
        <w:tc>
          <w:tcPr>
            <w:tcW w:w="3697" w:type="dxa"/>
            <w:shd w:val="clear" w:color="auto" w:fill="auto"/>
            <w:vAlign w:val="center"/>
          </w:tcPr>
          <w:p w14:paraId="5F715CB9" w14:textId="77777777" w:rsidR="003C6D92" w:rsidRPr="00F97425" w:rsidRDefault="003C6D92" w:rsidP="003C6D92">
            <w:pPr>
              <w:pStyle w:val="bigtable"/>
            </w:pPr>
            <w:r w:rsidRPr="00F97425">
              <w:t>Construir espacios seguros para las personas que han sido víctimas de abusos tales como la violación o el tráfico, evitando la estigmatización</w:t>
            </w:r>
          </w:p>
        </w:tc>
        <w:tc>
          <w:tcPr>
            <w:tcW w:w="3697" w:type="dxa"/>
            <w:shd w:val="clear" w:color="auto" w:fill="auto"/>
            <w:vAlign w:val="center"/>
          </w:tcPr>
          <w:p w14:paraId="1AFF1557" w14:textId="77777777" w:rsidR="003C6D92" w:rsidRPr="00F97425" w:rsidRDefault="003C6D92" w:rsidP="003C6D92">
            <w:pPr>
              <w:pStyle w:val="bigtable"/>
            </w:pPr>
            <w:r w:rsidRPr="00F97425">
              <w:t>Monitorizar las instituciones protegi</w:t>
            </w:r>
            <w:r w:rsidR="005F616B">
              <w:t xml:space="preserve">das específicamente bajo el derecho </w:t>
            </w:r>
            <w:r w:rsidRPr="00F97425">
              <w:t xml:space="preserve">internacional </w:t>
            </w:r>
            <w:r w:rsidR="005F616B">
              <w:t>humanitario, tales como escuelas</w:t>
            </w:r>
            <w:r w:rsidRPr="00F97425">
              <w:t xml:space="preserve"> y hospitales, e informar sobre cualquier ataque que sufran</w:t>
            </w:r>
          </w:p>
        </w:tc>
        <w:tc>
          <w:tcPr>
            <w:tcW w:w="3697" w:type="dxa"/>
            <w:shd w:val="clear" w:color="auto" w:fill="auto"/>
            <w:vAlign w:val="center"/>
          </w:tcPr>
          <w:p w14:paraId="46E26A98" w14:textId="77777777" w:rsidR="003C6D92" w:rsidRPr="00F97425" w:rsidRDefault="003C6D92" w:rsidP="003C6D92">
            <w:pPr>
              <w:pStyle w:val="bigtable"/>
            </w:pPr>
            <w:r w:rsidRPr="00F97425">
              <w:t>Asegurar que la documentación oficial emitida por las autoridades no determine quién puede recibir asistencia de las organizaciones humanitarias</w:t>
            </w:r>
          </w:p>
        </w:tc>
      </w:tr>
      <w:tr w:rsidR="003C6D92" w:rsidRPr="00F97425" w14:paraId="6BD1A217" w14:textId="77777777" w:rsidTr="003B2134">
        <w:trPr>
          <w:cantSplit/>
          <w:trHeight w:val="1814"/>
        </w:trPr>
        <w:tc>
          <w:tcPr>
            <w:tcW w:w="3697" w:type="dxa"/>
            <w:shd w:val="clear" w:color="auto" w:fill="auto"/>
            <w:vAlign w:val="center"/>
          </w:tcPr>
          <w:p w14:paraId="27A0001B" w14:textId="77777777" w:rsidR="003C6D92" w:rsidRPr="00F97425" w:rsidRDefault="003C6D92" w:rsidP="003C6D92">
            <w:pPr>
              <w:pStyle w:val="bigtable"/>
            </w:pPr>
            <w:r w:rsidRPr="00F97425">
              <w:t>Asegurar que las actividades no exacerben divisiones ya existentes en la comunidad</w:t>
            </w:r>
          </w:p>
        </w:tc>
        <w:tc>
          <w:tcPr>
            <w:tcW w:w="3697" w:type="dxa"/>
            <w:shd w:val="clear" w:color="auto" w:fill="auto"/>
            <w:vAlign w:val="center"/>
          </w:tcPr>
          <w:p w14:paraId="4030CBDF" w14:textId="77777777" w:rsidR="003C6D92" w:rsidRPr="00F97425" w:rsidRDefault="003C6D92" w:rsidP="003C6D92">
            <w:pPr>
              <w:pStyle w:val="bigtable"/>
            </w:pPr>
            <w:r w:rsidRPr="00F97425">
              <w:t xml:space="preserve">Asegurar que las personas afectadas no tengan que tener un estatus legal </w:t>
            </w:r>
            <w:r w:rsidR="00F97425" w:rsidRPr="00F97425">
              <w:t>especial</w:t>
            </w:r>
            <w:r w:rsidRPr="00F97425">
              <w:t xml:space="preserve"> para recibir asistencia humanitaria y recibir protección</w:t>
            </w:r>
          </w:p>
        </w:tc>
        <w:tc>
          <w:tcPr>
            <w:tcW w:w="3697" w:type="dxa"/>
            <w:shd w:val="clear" w:color="auto" w:fill="auto"/>
            <w:vAlign w:val="center"/>
          </w:tcPr>
          <w:p w14:paraId="2B0A0F77" w14:textId="77777777" w:rsidR="003C6D92" w:rsidRPr="00F97425" w:rsidRDefault="003C6D92" w:rsidP="003C6D92">
            <w:pPr>
              <w:pStyle w:val="bigtable"/>
            </w:pPr>
            <w:r w:rsidRPr="00F97425">
              <w:t>Alertar a los actores políticos, de orden público y militares relevantes acerca de violaciones que ocurren regularmente, para que las fuerzas militares puedan parar las violaciones</w:t>
            </w:r>
          </w:p>
        </w:tc>
        <w:tc>
          <w:tcPr>
            <w:tcW w:w="3697" w:type="dxa"/>
            <w:shd w:val="clear" w:color="auto" w:fill="auto"/>
            <w:vAlign w:val="center"/>
          </w:tcPr>
          <w:p w14:paraId="3C001FD2" w14:textId="77777777" w:rsidR="003C6D92" w:rsidRPr="00F97425" w:rsidRDefault="003C6D92" w:rsidP="003C6D92">
            <w:pPr>
              <w:pStyle w:val="bigtable"/>
            </w:pPr>
            <w:r w:rsidRPr="00F97425">
              <w:t>Referir a las personas que buscan justicia y compensación por pérdida de sus propiedades a las organizaciones que puedan proporcionarles tal apoyo.</w:t>
            </w:r>
          </w:p>
        </w:tc>
      </w:tr>
      <w:tr w:rsidR="003C6D92" w:rsidRPr="00F97425" w14:paraId="45BCC793" w14:textId="77777777" w:rsidTr="003B2134">
        <w:trPr>
          <w:cantSplit/>
          <w:trHeight w:val="1814"/>
        </w:trPr>
        <w:tc>
          <w:tcPr>
            <w:tcW w:w="3697" w:type="dxa"/>
            <w:shd w:val="clear" w:color="auto" w:fill="auto"/>
            <w:vAlign w:val="center"/>
          </w:tcPr>
          <w:p w14:paraId="64442E49" w14:textId="77777777" w:rsidR="003C6D92" w:rsidRPr="00F97425" w:rsidRDefault="003C6D92" w:rsidP="003C6D92">
            <w:pPr>
              <w:pStyle w:val="bigtable"/>
            </w:pPr>
            <w:r w:rsidRPr="00F97425">
              <w:lastRenderedPageBreak/>
              <w:t xml:space="preserve">Dar instrucciones a su equipo acerca de la información de incidentes presenciados o alegaciones </w:t>
            </w:r>
          </w:p>
        </w:tc>
        <w:tc>
          <w:tcPr>
            <w:tcW w:w="3697" w:type="dxa"/>
            <w:shd w:val="clear" w:color="auto" w:fill="auto"/>
            <w:vAlign w:val="center"/>
          </w:tcPr>
          <w:p w14:paraId="26B08FF2" w14:textId="77777777" w:rsidR="003C6D92" w:rsidRPr="00F97425" w:rsidRDefault="003C6D92" w:rsidP="003C6D92">
            <w:pPr>
              <w:pStyle w:val="bigtable"/>
            </w:pPr>
            <w:r w:rsidRPr="00F97425">
              <w:t xml:space="preserve">Asegurar que la asistencia que proporciona está basada únicamente en las necesidades y en proporción a las necesidades </w:t>
            </w:r>
          </w:p>
        </w:tc>
        <w:tc>
          <w:tcPr>
            <w:tcW w:w="3697" w:type="dxa"/>
            <w:shd w:val="clear" w:color="auto" w:fill="auto"/>
            <w:vAlign w:val="center"/>
          </w:tcPr>
          <w:p w14:paraId="5E8F0031" w14:textId="77777777" w:rsidR="003C6D92" w:rsidRPr="00F97425" w:rsidRDefault="003C6D92" w:rsidP="003C6D92">
            <w:pPr>
              <w:pStyle w:val="bigtable"/>
            </w:pPr>
            <w:r w:rsidRPr="00F97425">
              <w:t>Asegurar que las personas no están obligadas a quedarse o ir a un lugar que no es de su elección, como por ejemplo un campamento</w:t>
            </w:r>
          </w:p>
        </w:tc>
        <w:tc>
          <w:tcPr>
            <w:tcW w:w="3697" w:type="dxa"/>
            <w:shd w:val="clear" w:color="auto" w:fill="auto"/>
            <w:vAlign w:val="center"/>
          </w:tcPr>
          <w:p w14:paraId="2F074A5E" w14:textId="77777777" w:rsidR="003C6D92" w:rsidRPr="00F97425" w:rsidRDefault="003C6D92" w:rsidP="003C6D92">
            <w:pPr>
              <w:pStyle w:val="bigtable"/>
            </w:pPr>
            <w:r w:rsidRPr="00F97425">
              <w:t>Después de un ataque, violencia de género y problemas relacionados, apoye el acceso de personas a cuidados sanitarios y rehabilitación adecuados</w:t>
            </w:r>
          </w:p>
        </w:tc>
      </w:tr>
      <w:tr w:rsidR="003C6D92" w:rsidRPr="00F97425" w14:paraId="1B5CA804" w14:textId="77777777" w:rsidTr="003B2134">
        <w:trPr>
          <w:cantSplit/>
          <w:trHeight w:val="1814"/>
        </w:trPr>
        <w:tc>
          <w:tcPr>
            <w:tcW w:w="3697" w:type="dxa"/>
            <w:shd w:val="clear" w:color="auto" w:fill="auto"/>
            <w:vAlign w:val="center"/>
          </w:tcPr>
          <w:p w14:paraId="76411A8E" w14:textId="77777777" w:rsidR="003C6D92" w:rsidRPr="00F97425" w:rsidRDefault="003C6D92" w:rsidP="003C6D92">
            <w:pPr>
              <w:pStyle w:val="bigtable"/>
            </w:pPr>
            <w:r w:rsidRPr="00F97425">
              <w:t>Planifique la distribución de asistencia de forma que minimice los robos</w:t>
            </w:r>
          </w:p>
        </w:tc>
        <w:tc>
          <w:tcPr>
            <w:tcW w:w="3697" w:type="dxa"/>
            <w:shd w:val="clear" w:color="auto" w:fill="auto"/>
            <w:vAlign w:val="center"/>
          </w:tcPr>
          <w:p w14:paraId="3AA4B6B8" w14:textId="77777777" w:rsidR="003C6D92" w:rsidRPr="00F97425" w:rsidRDefault="003C6D92" w:rsidP="00F97425">
            <w:pPr>
              <w:pStyle w:val="bigtable"/>
            </w:pPr>
            <w:r w:rsidRPr="00F97425">
              <w:t xml:space="preserve">Al proveer asistencia a un grupo determinado, como por ejemplo los desplazados internos en campamentos, </w:t>
            </w:r>
            <w:r w:rsidR="00F97425">
              <w:t>asegurar</w:t>
            </w:r>
            <w:r w:rsidRPr="00F97425">
              <w:t xml:space="preserve"> que esta atención no sea al detrimento de otra sección de la población afectada</w:t>
            </w:r>
          </w:p>
        </w:tc>
        <w:tc>
          <w:tcPr>
            <w:tcW w:w="3697" w:type="dxa"/>
            <w:shd w:val="clear" w:color="auto" w:fill="auto"/>
            <w:vAlign w:val="center"/>
          </w:tcPr>
          <w:p w14:paraId="5C027181" w14:textId="77777777" w:rsidR="003C6D92" w:rsidRPr="00F97425" w:rsidRDefault="003C6D92" w:rsidP="003C6D92">
            <w:pPr>
              <w:pStyle w:val="bigtable"/>
            </w:pPr>
            <w:r w:rsidRPr="00F97425">
              <w:t>Dar apoyo a las familias y a las comunidades en sus esfuerzos por mantener a salvo a los niños</w:t>
            </w:r>
          </w:p>
        </w:tc>
        <w:tc>
          <w:tcPr>
            <w:tcW w:w="3697" w:type="dxa"/>
            <w:shd w:val="clear" w:color="auto" w:fill="auto"/>
            <w:vAlign w:val="center"/>
          </w:tcPr>
          <w:p w14:paraId="64C958B3" w14:textId="77777777" w:rsidR="003C6D92" w:rsidRPr="00F97425" w:rsidRDefault="003C6D92" w:rsidP="003C6D92">
            <w:pPr>
              <w:pStyle w:val="bigtable"/>
            </w:pPr>
            <w:r w:rsidRPr="00F97425">
              <w:t>Apoyar mecanismos de adaptación comunales positivos, tales como entierros, ceremonias y prácticas religiosas, además de prácticas culturales y sociales no dañinas</w:t>
            </w:r>
          </w:p>
        </w:tc>
      </w:tr>
      <w:tr w:rsidR="003C6D92" w:rsidRPr="00F97425" w14:paraId="08DE989A" w14:textId="77777777" w:rsidTr="003B2134">
        <w:trPr>
          <w:cantSplit/>
          <w:trHeight w:val="1814"/>
        </w:trPr>
        <w:tc>
          <w:tcPr>
            <w:tcW w:w="3697" w:type="dxa"/>
            <w:shd w:val="clear" w:color="auto" w:fill="auto"/>
            <w:vAlign w:val="center"/>
          </w:tcPr>
          <w:p w14:paraId="4CA664E3" w14:textId="77777777" w:rsidR="003C6D92" w:rsidRPr="00F97425" w:rsidRDefault="003C6D92" w:rsidP="009F71CB">
            <w:pPr>
              <w:pStyle w:val="bigtable"/>
              <w:spacing w:line="240" w:lineRule="auto"/>
            </w:pPr>
            <w:r w:rsidRPr="00F97425">
              <w:t>Compilar información acerca de abusos y violaciones de derechos específicos únicamente si la intención de uso es clara, y únicamente si su organización tiene un mandato de protección o tiene implementados la capacidad, las destrezas, los sistemas y los protocolos necesarios</w:t>
            </w:r>
          </w:p>
        </w:tc>
        <w:tc>
          <w:tcPr>
            <w:tcW w:w="3697" w:type="dxa"/>
            <w:shd w:val="clear" w:color="auto" w:fill="auto"/>
            <w:vAlign w:val="center"/>
          </w:tcPr>
          <w:p w14:paraId="26794497" w14:textId="77777777" w:rsidR="003C6D92" w:rsidRPr="00F97425" w:rsidRDefault="003C6D92" w:rsidP="003C6D92">
            <w:pPr>
              <w:pStyle w:val="bigtable"/>
            </w:pPr>
          </w:p>
        </w:tc>
        <w:tc>
          <w:tcPr>
            <w:tcW w:w="3697" w:type="dxa"/>
            <w:shd w:val="clear" w:color="auto" w:fill="auto"/>
            <w:vAlign w:val="center"/>
          </w:tcPr>
          <w:p w14:paraId="15490C75" w14:textId="77777777" w:rsidR="003C6D92" w:rsidRPr="00F97425" w:rsidRDefault="003C6D92" w:rsidP="003C6D92">
            <w:pPr>
              <w:pStyle w:val="bigtable"/>
            </w:pPr>
            <w:r w:rsidRPr="00F97425">
              <w:t>Implementar normas e instrumentos que previenen y erradican la explotación y el abuso sexual</w:t>
            </w:r>
          </w:p>
        </w:tc>
        <w:tc>
          <w:tcPr>
            <w:tcW w:w="3697" w:type="dxa"/>
            <w:shd w:val="clear" w:color="auto" w:fill="auto"/>
            <w:vAlign w:val="center"/>
          </w:tcPr>
          <w:p w14:paraId="2E6F8F70" w14:textId="77777777" w:rsidR="003C6D92" w:rsidRPr="00F97425" w:rsidRDefault="003C6D92" w:rsidP="003C6D92">
            <w:pPr>
              <w:pStyle w:val="bigtable"/>
            </w:pPr>
          </w:p>
        </w:tc>
      </w:tr>
      <w:tr w:rsidR="00697502" w:rsidRPr="00F97425" w14:paraId="0A611E06" w14:textId="77777777" w:rsidTr="003B2134">
        <w:trPr>
          <w:cantSplit/>
          <w:trHeight w:val="1814"/>
        </w:trPr>
        <w:tc>
          <w:tcPr>
            <w:tcW w:w="3697" w:type="dxa"/>
            <w:shd w:val="clear" w:color="auto" w:fill="auto"/>
            <w:vAlign w:val="center"/>
          </w:tcPr>
          <w:p w14:paraId="5E910869" w14:textId="77777777" w:rsidR="00697502" w:rsidRPr="00F97425" w:rsidRDefault="00697502" w:rsidP="003C6D92">
            <w:pPr>
              <w:pStyle w:val="bigtable"/>
            </w:pPr>
          </w:p>
        </w:tc>
        <w:tc>
          <w:tcPr>
            <w:tcW w:w="3697" w:type="dxa"/>
            <w:shd w:val="clear" w:color="auto" w:fill="auto"/>
            <w:vAlign w:val="center"/>
          </w:tcPr>
          <w:p w14:paraId="7CFC9462" w14:textId="77777777" w:rsidR="00697502" w:rsidRPr="00F97425" w:rsidRDefault="00697502" w:rsidP="003C6D92">
            <w:pPr>
              <w:pStyle w:val="bigtable"/>
            </w:pPr>
          </w:p>
        </w:tc>
        <w:tc>
          <w:tcPr>
            <w:tcW w:w="3697" w:type="dxa"/>
            <w:shd w:val="clear" w:color="auto" w:fill="auto"/>
            <w:vAlign w:val="center"/>
          </w:tcPr>
          <w:p w14:paraId="00D5778E" w14:textId="77777777" w:rsidR="00697502" w:rsidRPr="00F97425" w:rsidRDefault="00697502" w:rsidP="003C6D92">
            <w:pPr>
              <w:pStyle w:val="bigtable"/>
            </w:pPr>
            <w:r w:rsidRPr="00F97425">
              <w:t>Enseñar a las personas cómo prevenir que se separen los niños de sus familias</w:t>
            </w:r>
          </w:p>
        </w:tc>
        <w:tc>
          <w:tcPr>
            <w:tcW w:w="3697" w:type="dxa"/>
            <w:shd w:val="clear" w:color="auto" w:fill="auto"/>
            <w:vAlign w:val="center"/>
          </w:tcPr>
          <w:p w14:paraId="1858311F" w14:textId="77777777" w:rsidR="00697502" w:rsidRPr="00F97425" w:rsidRDefault="00697502" w:rsidP="003C6D92">
            <w:pPr>
              <w:pStyle w:val="bigtable"/>
            </w:pPr>
          </w:p>
        </w:tc>
      </w:tr>
    </w:tbl>
    <w:p w14:paraId="4AC98E27" w14:textId="77777777" w:rsidR="00073A7E" w:rsidRPr="00F97425" w:rsidRDefault="00073A7E" w:rsidP="00235E88">
      <w:pPr>
        <w:sectPr w:rsidR="00073A7E" w:rsidRPr="00F97425" w:rsidSect="00BB75BC">
          <w:headerReference w:type="even" r:id="rId13"/>
          <w:headerReference w:type="default" r:id="rId14"/>
          <w:footerReference w:type="even" r:id="rId15"/>
          <w:footerReference w:type="default" r:id="rId16"/>
          <w:headerReference w:type="first" r:id="rId17"/>
          <w:footerReference w:type="first" r:id="rId18"/>
          <w:pgSz w:w="16840" w:h="11901" w:orient="landscape"/>
          <w:pgMar w:top="1418" w:right="1134" w:bottom="567" w:left="1134" w:header="709" w:footer="454" w:gutter="0"/>
          <w:cols w:space="720"/>
          <w:docGrid w:linePitch="360"/>
        </w:sectPr>
      </w:pPr>
    </w:p>
    <w:tbl>
      <w:tblPr>
        <w:tblW w:w="0" w:type="auto"/>
        <w:tblBorders>
          <w:top w:val="single" w:sz="4" w:space="0" w:color="87B91D"/>
          <w:left w:val="single" w:sz="4" w:space="0" w:color="87B91D"/>
          <w:bottom w:val="single" w:sz="4" w:space="0" w:color="87B91D"/>
          <w:right w:val="single" w:sz="4" w:space="0" w:color="87B91D"/>
          <w:insideH w:val="single" w:sz="4" w:space="0" w:color="87B91D"/>
          <w:insideV w:val="single" w:sz="4" w:space="0" w:color="87B91D"/>
        </w:tblBorders>
        <w:tblLook w:val="04A0" w:firstRow="1" w:lastRow="0" w:firstColumn="1" w:lastColumn="0" w:noHBand="0" w:noVBand="1"/>
      </w:tblPr>
      <w:tblGrid>
        <w:gridCol w:w="3697"/>
        <w:gridCol w:w="3697"/>
        <w:gridCol w:w="3697"/>
        <w:gridCol w:w="3697"/>
      </w:tblGrid>
      <w:tr w:rsidR="00073A7E" w:rsidRPr="00F97425" w14:paraId="777BEDD4" w14:textId="77777777" w:rsidTr="003B2134">
        <w:trPr>
          <w:cantSplit/>
          <w:tblHeader/>
        </w:trPr>
        <w:tc>
          <w:tcPr>
            <w:tcW w:w="3697" w:type="dxa"/>
            <w:shd w:val="clear" w:color="auto" w:fill="E9F7CB"/>
          </w:tcPr>
          <w:p w14:paraId="315F58AE" w14:textId="77777777" w:rsidR="00073A7E" w:rsidRPr="003B2134" w:rsidRDefault="00073A7E" w:rsidP="00073A7E">
            <w:pPr>
              <w:pStyle w:val="tableheading"/>
            </w:pPr>
            <w:r w:rsidRPr="003B2134">
              <w:lastRenderedPageBreak/>
              <w:t>Principio 1</w:t>
            </w:r>
          </w:p>
        </w:tc>
        <w:tc>
          <w:tcPr>
            <w:tcW w:w="3697" w:type="dxa"/>
            <w:shd w:val="clear" w:color="auto" w:fill="E9F7CB"/>
          </w:tcPr>
          <w:p w14:paraId="31D9D996" w14:textId="77777777" w:rsidR="00073A7E" w:rsidRPr="003B2134" w:rsidRDefault="00073A7E" w:rsidP="00073A7E">
            <w:pPr>
              <w:pStyle w:val="tableheading"/>
            </w:pPr>
            <w:r w:rsidRPr="003B2134">
              <w:t>Principio 2</w:t>
            </w:r>
          </w:p>
        </w:tc>
        <w:tc>
          <w:tcPr>
            <w:tcW w:w="3697" w:type="dxa"/>
            <w:shd w:val="clear" w:color="auto" w:fill="E9F7CB"/>
          </w:tcPr>
          <w:p w14:paraId="0D7D292F" w14:textId="77777777" w:rsidR="00073A7E" w:rsidRPr="003B2134" w:rsidRDefault="00073A7E" w:rsidP="00073A7E">
            <w:pPr>
              <w:pStyle w:val="tableheading"/>
            </w:pPr>
            <w:r w:rsidRPr="003B2134">
              <w:t>Principio 3</w:t>
            </w:r>
          </w:p>
        </w:tc>
        <w:tc>
          <w:tcPr>
            <w:tcW w:w="3697" w:type="dxa"/>
            <w:shd w:val="clear" w:color="auto" w:fill="E9F7CB"/>
          </w:tcPr>
          <w:p w14:paraId="15A1B3D0" w14:textId="77777777" w:rsidR="00073A7E" w:rsidRPr="003B2134" w:rsidRDefault="00073A7E" w:rsidP="00073A7E">
            <w:pPr>
              <w:pStyle w:val="tableheading"/>
            </w:pPr>
            <w:r w:rsidRPr="003B2134">
              <w:t>Principio 4</w:t>
            </w:r>
          </w:p>
        </w:tc>
      </w:tr>
      <w:tr w:rsidR="00073A7E" w:rsidRPr="00F97425" w14:paraId="4CEF12F0" w14:textId="77777777" w:rsidTr="003B2134">
        <w:trPr>
          <w:cantSplit/>
        </w:trPr>
        <w:tc>
          <w:tcPr>
            <w:tcW w:w="3697" w:type="dxa"/>
            <w:shd w:val="clear" w:color="auto" w:fill="auto"/>
          </w:tcPr>
          <w:p w14:paraId="685FD1DA" w14:textId="77777777" w:rsidR="00073A7E" w:rsidRPr="003B2134" w:rsidRDefault="00073A7E" w:rsidP="003B2134">
            <w:pPr>
              <w:pStyle w:val="bigtable"/>
              <w:jc w:val="left"/>
              <w:rPr>
                <w:color w:val="004386"/>
              </w:rPr>
            </w:pPr>
            <w:r w:rsidRPr="003B2134">
              <w:rPr>
                <w:color w:val="004386"/>
              </w:rPr>
              <w:t>Evit</w:t>
            </w:r>
            <w:r w:rsidR="002F08D2" w:rsidRPr="003B2134">
              <w:rPr>
                <w:color w:val="004386"/>
              </w:rPr>
              <w:t xml:space="preserve">ar exponer a las personas a </w:t>
            </w:r>
            <w:r w:rsidRPr="003B2134">
              <w:rPr>
                <w:color w:val="004386"/>
              </w:rPr>
              <w:t>daños</w:t>
            </w:r>
            <w:r w:rsidR="002F08D2" w:rsidRPr="003B2134">
              <w:rPr>
                <w:color w:val="004386"/>
              </w:rPr>
              <w:t xml:space="preserve"> adicionales</w:t>
            </w:r>
            <w:r w:rsidRPr="003B2134">
              <w:rPr>
                <w:color w:val="004386"/>
              </w:rPr>
              <w:t xml:space="preserve"> como resultado de </w:t>
            </w:r>
            <w:r w:rsidR="002F08D2" w:rsidRPr="003B2134">
              <w:rPr>
                <w:color w:val="004386"/>
              </w:rPr>
              <w:t xml:space="preserve">nuestras </w:t>
            </w:r>
            <w:r w:rsidR="002B087B" w:rsidRPr="003B2134">
              <w:rPr>
                <w:color w:val="004386"/>
              </w:rPr>
              <w:t>accio</w:t>
            </w:r>
            <w:r w:rsidRPr="003B2134">
              <w:rPr>
                <w:color w:val="004386"/>
              </w:rPr>
              <w:t>n</w:t>
            </w:r>
            <w:r w:rsidR="002F08D2" w:rsidRPr="003B2134">
              <w:rPr>
                <w:color w:val="004386"/>
              </w:rPr>
              <w:t>es</w:t>
            </w:r>
          </w:p>
        </w:tc>
        <w:tc>
          <w:tcPr>
            <w:tcW w:w="3697" w:type="dxa"/>
            <w:shd w:val="clear" w:color="auto" w:fill="auto"/>
          </w:tcPr>
          <w:p w14:paraId="3F029181" w14:textId="77777777" w:rsidR="00073A7E" w:rsidRPr="003B2134" w:rsidRDefault="002B087B" w:rsidP="003B2134">
            <w:pPr>
              <w:pStyle w:val="bigtable"/>
              <w:jc w:val="left"/>
              <w:rPr>
                <w:color w:val="004386"/>
              </w:rPr>
            </w:pPr>
            <w:r w:rsidRPr="003B2134">
              <w:rPr>
                <w:color w:val="004386"/>
              </w:rPr>
              <w:t>Velar por que las</w:t>
            </w:r>
            <w:r w:rsidR="00073A7E" w:rsidRPr="003B2134">
              <w:rPr>
                <w:color w:val="004386"/>
              </w:rPr>
              <w:t xml:space="preserve"> personas </w:t>
            </w:r>
            <w:r w:rsidRPr="003B2134">
              <w:rPr>
                <w:color w:val="004386"/>
              </w:rPr>
              <w:t xml:space="preserve">tengan acceso </w:t>
            </w:r>
            <w:r w:rsidR="00073A7E" w:rsidRPr="003B2134">
              <w:rPr>
                <w:color w:val="004386"/>
              </w:rPr>
              <w:t xml:space="preserve">a </w:t>
            </w:r>
            <w:r w:rsidRPr="003B2134">
              <w:rPr>
                <w:color w:val="004386"/>
              </w:rPr>
              <w:t>una asistencia imparcial, de acuerdo con sus</w:t>
            </w:r>
            <w:r w:rsidR="00073A7E" w:rsidRPr="003B2134">
              <w:rPr>
                <w:color w:val="004386"/>
              </w:rPr>
              <w:t xml:space="preserve"> necesidades y sin discriminación</w:t>
            </w:r>
          </w:p>
        </w:tc>
        <w:tc>
          <w:tcPr>
            <w:tcW w:w="3697" w:type="dxa"/>
            <w:shd w:val="clear" w:color="auto" w:fill="auto"/>
          </w:tcPr>
          <w:p w14:paraId="6094DE9F" w14:textId="77777777" w:rsidR="00073A7E" w:rsidRPr="003B2134" w:rsidRDefault="00073A7E" w:rsidP="003B2134">
            <w:pPr>
              <w:pStyle w:val="bigtable"/>
              <w:jc w:val="left"/>
              <w:rPr>
                <w:color w:val="004386"/>
              </w:rPr>
            </w:pPr>
            <w:r w:rsidRPr="003B2134">
              <w:rPr>
                <w:color w:val="004386"/>
              </w:rPr>
              <w:t>Proteger a las personas</w:t>
            </w:r>
            <w:r w:rsidR="00F72102" w:rsidRPr="003B2134">
              <w:rPr>
                <w:color w:val="004386"/>
              </w:rPr>
              <w:t xml:space="preserve"> de daños físicos y psíquicos</w:t>
            </w:r>
            <w:r w:rsidRPr="003B2134">
              <w:rPr>
                <w:color w:val="004386"/>
              </w:rPr>
              <w:t xml:space="preserve"> causad</w:t>
            </w:r>
            <w:r w:rsidR="00E72DC7" w:rsidRPr="003B2134">
              <w:rPr>
                <w:color w:val="004386"/>
              </w:rPr>
              <w:t>os por la violencia y la coerción</w:t>
            </w:r>
          </w:p>
        </w:tc>
        <w:tc>
          <w:tcPr>
            <w:tcW w:w="3697" w:type="dxa"/>
            <w:shd w:val="clear" w:color="auto" w:fill="auto"/>
          </w:tcPr>
          <w:p w14:paraId="4A2D7505" w14:textId="77777777" w:rsidR="00073A7E" w:rsidRPr="003B2134" w:rsidRDefault="00073A7E" w:rsidP="003B2134">
            <w:pPr>
              <w:pStyle w:val="bigtable"/>
              <w:jc w:val="left"/>
              <w:rPr>
                <w:color w:val="004386"/>
              </w:rPr>
            </w:pPr>
            <w:r w:rsidRPr="003B2134">
              <w:rPr>
                <w:color w:val="004386"/>
              </w:rPr>
              <w:t>A</w:t>
            </w:r>
            <w:r w:rsidR="00F72102" w:rsidRPr="003B2134">
              <w:rPr>
                <w:color w:val="004386"/>
              </w:rPr>
              <w:t xml:space="preserve">yudar a las personas a reivindicar </w:t>
            </w:r>
            <w:r w:rsidRPr="003B2134">
              <w:rPr>
                <w:color w:val="004386"/>
              </w:rPr>
              <w:t xml:space="preserve">sus derechos, </w:t>
            </w:r>
            <w:r w:rsidR="00F72102" w:rsidRPr="003B2134">
              <w:rPr>
                <w:color w:val="004386"/>
              </w:rPr>
              <w:t>obtener reparación y re</w:t>
            </w:r>
            <w:r w:rsidRPr="003B2134">
              <w:rPr>
                <w:color w:val="004386"/>
              </w:rPr>
              <w:t>cuperarse de los efectos de los abusos</w:t>
            </w:r>
            <w:r w:rsidR="00F72102" w:rsidRPr="003B2134">
              <w:rPr>
                <w:color w:val="004386"/>
              </w:rPr>
              <w:t xml:space="preserve"> sufridos</w:t>
            </w:r>
          </w:p>
        </w:tc>
      </w:tr>
      <w:tr w:rsidR="00073A7E" w:rsidRPr="00F97425" w14:paraId="5356172C" w14:textId="77777777" w:rsidTr="003B2134">
        <w:trPr>
          <w:cantSplit/>
        </w:trPr>
        <w:tc>
          <w:tcPr>
            <w:tcW w:w="3697" w:type="dxa"/>
            <w:shd w:val="clear" w:color="auto" w:fill="FAFFEE"/>
          </w:tcPr>
          <w:p w14:paraId="0AB65E07" w14:textId="77777777" w:rsidR="00073A7E" w:rsidRPr="00F97425" w:rsidRDefault="00073A7E" w:rsidP="00073A7E">
            <w:pPr>
              <w:pStyle w:val="table"/>
            </w:pPr>
            <w:r w:rsidRPr="00F97425">
              <w:t>Consultar con los diferentes segmentos de la población afectada a la hora de evaluar las consecuencias positivas y las posibles consecuencias negativas de la respuesta en general</w:t>
            </w:r>
          </w:p>
        </w:tc>
        <w:tc>
          <w:tcPr>
            <w:tcW w:w="3697" w:type="dxa"/>
            <w:shd w:val="clear" w:color="auto" w:fill="FAFFEE"/>
          </w:tcPr>
          <w:p w14:paraId="1141E80C" w14:textId="77777777" w:rsidR="00073A7E" w:rsidRPr="00F97425" w:rsidRDefault="00073A7E" w:rsidP="00073A7E">
            <w:pPr>
              <w:pStyle w:val="table"/>
            </w:pPr>
            <w:r w:rsidRPr="00F97425">
              <w:t>Asegurar que su programa protege los derechos de las personas marginadas</w:t>
            </w:r>
          </w:p>
        </w:tc>
        <w:tc>
          <w:tcPr>
            <w:tcW w:w="3697" w:type="dxa"/>
            <w:shd w:val="clear" w:color="auto" w:fill="FAFFEE"/>
          </w:tcPr>
          <w:p w14:paraId="286FBC00" w14:textId="77777777" w:rsidR="00073A7E" w:rsidRPr="00F97425" w:rsidRDefault="00073A7E" w:rsidP="00073A7E">
            <w:pPr>
              <w:pStyle w:val="table"/>
            </w:pPr>
            <w:r w:rsidRPr="00F97425">
              <w:t>Implementar medidas para reducir el riesgo de la violencia de género</w:t>
            </w:r>
          </w:p>
        </w:tc>
        <w:tc>
          <w:tcPr>
            <w:tcW w:w="3697" w:type="dxa"/>
            <w:shd w:val="clear" w:color="auto" w:fill="FAFFEE"/>
          </w:tcPr>
          <w:p w14:paraId="618C02D9" w14:textId="77777777" w:rsidR="00073A7E" w:rsidRPr="00F97425" w:rsidRDefault="00073A7E" w:rsidP="00073A7E">
            <w:pPr>
              <w:pStyle w:val="table"/>
            </w:pPr>
            <w:r w:rsidRPr="00F97425">
              <w:t>Trabajar con las autoridades relevantes para obtener documentación perdida</w:t>
            </w:r>
          </w:p>
        </w:tc>
      </w:tr>
      <w:tr w:rsidR="00073A7E" w:rsidRPr="00F97425" w14:paraId="0719E21D" w14:textId="77777777" w:rsidTr="003B2134">
        <w:trPr>
          <w:cantSplit/>
        </w:trPr>
        <w:tc>
          <w:tcPr>
            <w:tcW w:w="3697" w:type="dxa"/>
            <w:shd w:val="clear" w:color="auto" w:fill="auto"/>
          </w:tcPr>
          <w:p w14:paraId="28C3D2BF" w14:textId="77777777" w:rsidR="00073A7E" w:rsidRPr="00F97425" w:rsidRDefault="00073A7E" w:rsidP="00073A7E">
            <w:pPr>
              <w:pStyle w:val="table"/>
            </w:pPr>
            <w:r w:rsidRPr="00F97425">
              <w:t>Procurar que las personas no tengan que viajar a través de zonas peligrosas para acceder a la asistencia</w:t>
            </w:r>
          </w:p>
        </w:tc>
        <w:tc>
          <w:tcPr>
            <w:tcW w:w="3697" w:type="dxa"/>
            <w:shd w:val="clear" w:color="auto" w:fill="auto"/>
          </w:tcPr>
          <w:p w14:paraId="7B78A21B" w14:textId="77777777" w:rsidR="00073A7E" w:rsidRPr="00F97425" w:rsidRDefault="00073A7E" w:rsidP="00073A7E">
            <w:pPr>
              <w:pStyle w:val="table"/>
            </w:pPr>
            <w:r w:rsidRPr="00F97425">
              <w:t>Monitorizar el acceso de la población afectada a la asistencia humanitaria</w:t>
            </w:r>
          </w:p>
        </w:tc>
        <w:tc>
          <w:tcPr>
            <w:tcW w:w="3697" w:type="dxa"/>
            <w:shd w:val="clear" w:color="auto" w:fill="auto"/>
          </w:tcPr>
          <w:p w14:paraId="5DEFD2E7" w14:textId="77777777" w:rsidR="00073A7E" w:rsidRPr="00F97425" w:rsidRDefault="00073A7E" w:rsidP="00073A7E">
            <w:pPr>
              <w:pStyle w:val="table"/>
            </w:pPr>
            <w:r w:rsidRPr="00F97425">
              <w:t>Considerar incidir por los derechos de las poblaciones afectadas con las autoridades y los actores relevantes, recordándoles sus obligaciones</w:t>
            </w:r>
          </w:p>
        </w:tc>
        <w:tc>
          <w:tcPr>
            <w:tcW w:w="3697" w:type="dxa"/>
            <w:shd w:val="clear" w:color="auto" w:fill="auto"/>
          </w:tcPr>
          <w:p w14:paraId="547AD3BD" w14:textId="77777777" w:rsidR="00073A7E" w:rsidRPr="00F97425" w:rsidRDefault="00073A7E" w:rsidP="00073A7E">
            <w:pPr>
              <w:pStyle w:val="table"/>
            </w:pPr>
            <w:r w:rsidRPr="00F97425">
              <w:t>Informar a las personas afectadas de sus derechos dentro de un programa de ayuda concreto</w:t>
            </w:r>
          </w:p>
        </w:tc>
      </w:tr>
      <w:tr w:rsidR="00073A7E" w:rsidRPr="00F97425" w14:paraId="4E7BB969" w14:textId="77777777" w:rsidTr="003B2134">
        <w:trPr>
          <w:cantSplit/>
        </w:trPr>
        <w:tc>
          <w:tcPr>
            <w:tcW w:w="3697" w:type="dxa"/>
            <w:shd w:val="clear" w:color="auto" w:fill="FAFFEE"/>
          </w:tcPr>
          <w:p w14:paraId="07042DF5" w14:textId="77777777" w:rsidR="00073A7E" w:rsidRPr="00F97425" w:rsidRDefault="00073A7E" w:rsidP="00073A7E">
            <w:pPr>
              <w:pStyle w:val="table"/>
            </w:pPr>
            <w:r w:rsidRPr="00F97425">
              <w:t>Adaptar las formas en las que se proporciona la asistencia a fin de minimizar el riesgo de saqueo y la consecuente violencia</w:t>
            </w:r>
          </w:p>
        </w:tc>
        <w:tc>
          <w:tcPr>
            <w:tcW w:w="3697" w:type="dxa"/>
            <w:shd w:val="clear" w:color="auto" w:fill="FAFFEE"/>
          </w:tcPr>
          <w:p w14:paraId="4663C50E" w14:textId="77777777" w:rsidR="00073A7E" w:rsidRPr="00F97425" w:rsidRDefault="00073A7E" w:rsidP="00792013">
            <w:pPr>
              <w:pStyle w:val="table"/>
            </w:pPr>
            <w:r w:rsidRPr="00F97425">
              <w:t xml:space="preserve">Promover el respeto </w:t>
            </w:r>
            <w:r w:rsidR="00792013">
              <w:t>del derecho relevante</w:t>
            </w:r>
            <w:r w:rsidRPr="00F97425">
              <w:t xml:space="preserve"> en caso de que se niegue la asistencia a la población afectada</w:t>
            </w:r>
          </w:p>
        </w:tc>
        <w:tc>
          <w:tcPr>
            <w:tcW w:w="3697" w:type="dxa"/>
            <w:shd w:val="clear" w:color="auto" w:fill="FAFFEE"/>
          </w:tcPr>
          <w:p w14:paraId="7C8B74A3" w14:textId="77777777" w:rsidR="00073A7E" w:rsidRPr="00F97425" w:rsidRDefault="00073A7E" w:rsidP="00073A7E">
            <w:pPr>
              <w:pStyle w:val="table"/>
            </w:pPr>
            <w:r w:rsidRPr="00F97425">
              <w:t>Coordinar con las autoridades gubernamentales y las organiza</w:t>
            </w:r>
            <w:r w:rsidR="00110467">
              <w:t>ciones especializadas</w:t>
            </w:r>
            <w:r w:rsidRPr="00F97425">
              <w:t xml:space="preserve"> la retirada de minas y municiones no explotadas</w:t>
            </w:r>
          </w:p>
        </w:tc>
        <w:tc>
          <w:tcPr>
            <w:tcW w:w="3697" w:type="dxa"/>
            <w:shd w:val="clear" w:color="auto" w:fill="FAFFEE"/>
          </w:tcPr>
          <w:p w14:paraId="0D068728" w14:textId="77777777" w:rsidR="00073A7E" w:rsidRPr="00F97425" w:rsidRDefault="00073A7E" w:rsidP="00073A7E">
            <w:pPr>
              <w:pStyle w:val="table"/>
            </w:pPr>
            <w:r w:rsidRPr="00F97425">
              <w:t>Informar a la población afectada utilizando un lenguaje y una forma que puedan comprender</w:t>
            </w:r>
          </w:p>
        </w:tc>
      </w:tr>
      <w:tr w:rsidR="00073A7E" w:rsidRPr="00F97425" w14:paraId="392D463D" w14:textId="77777777" w:rsidTr="003B2134">
        <w:trPr>
          <w:cantSplit/>
        </w:trPr>
        <w:tc>
          <w:tcPr>
            <w:tcW w:w="3697" w:type="dxa"/>
            <w:shd w:val="clear" w:color="auto" w:fill="auto"/>
          </w:tcPr>
          <w:p w14:paraId="7B84CD9A" w14:textId="77777777" w:rsidR="00073A7E" w:rsidRPr="00F97425" w:rsidRDefault="00073A7E" w:rsidP="00073A7E">
            <w:pPr>
              <w:pStyle w:val="table"/>
            </w:pPr>
            <w:r w:rsidRPr="00F97425">
              <w:t>Construir campamentos de DI y refugiados en zonas alejadas del conflicto</w:t>
            </w:r>
          </w:p>
        </w:tc>
        <w:tc>
          <w:tcPr>
            <w:tcW w:w="3697" w:type="dxa"/>
            <w:shd w:val="clear" w:color="auto" w:fill="auto"/>
          </w:tcPr>
          <w:p w14:paraId="30D092B2" w14:textId="77777777" w:rsidR="00073A7E" w:rsidRPr="00F97425" w:rsidRDefault="00073A7E" w:rsidP="00073A7E">
            <w:pPr>
              <w:pStyle w:val="table"/>
            </w:pPr>
            <w:r w:rsidRPr="00F97425">
              <w:t>Construir espacios seguros para las personas que han sido víctimas de abusos tales como la violación o el tráfico, evitando la estigmatización</w:t>
            </w:r>
          </w:p>
        </w:tc>
        <w:tc>
          <w:tcPr>
            <w:tcW w:w="3697" w:type="dxa"/>
            <w:shd w:val="clear" w:color="auto" w:fill="auto"/>
          </w:tcPr>
          <w:p w14:paraId="4C9872FB" w14:textId="77777777" w:rsidR="00073A7E" w:rsidRPr="00F97425" w:rsidRDefault="00073A7E" w:rsidP="00110467">
            <w:pPr>
              <w:pStyle w:val="table"/>
            </w:pPr>
            <w:r w:rsidRPr="00F97425">
              <w:t>Monitorizar las instituciones protegidas específicamente bajo</w:t>
            </w:r>
            <w:r w:rsidR="00110467">
              <w:t xml:space="preserve"> el derecho</w:t>
            </w:r>
            <w:r w:rsidRPr="00F97425">
              <w:t xml:space="preserve"> internacional </w:t>
            </w:r>
            <w:r w:rsidR="00110467">
              <w:t>humanitario</w:t>
            </w:r>
            <w:r w:rsidR="0037263F">
              <w:t>, tales como escuela</w:t>
            </w:r>
            <w:r w:rsidRPr="00F97425">
              <w:t>s y hospitales, e informar sobre cualquier ataque que sufran</w:t>
            </w:r>
          </w:p>
        </w:tc>
        <w:tc>
          <w:tcPr>
            <w:tcW w:w="3697" w:type="dxa"/>
            <w:shd w:val="clear" w:color="auto" w:fill="auto"/>
          </w:tcPr>
          <w:p w14:paraId="0F7FE97E" w14:textId="77777777" w:rsidR="00073A7E" w:rsidRPr="00F97425" w:rsidRDefault="00073A7E" w:rsidP="00073A7E">
            <w:pPr>
              <w:pStyle w:val="table"/>
            </w:pPr>
            <w:r w:rsidRPr="00F97425">
              <w:t>Asegurar que la documentación oficial emitida por las autoridades no determine quién puede recibir asistencia de las organizaciones humanitarias</w:t>
            </w:r>
          </w:p>
        </w:tc>
      </w:tr>
      <w:tr w:rsidR="00073A7E" w:rsidRPr="00F97425" w14:paraId="1A6BB34A" w14:textId="77777777" w:rsidTr="003B2134">
        <w:trPr>
          <w:cantSplit/>
        </w:trPr>
        <w:tc>
          <w:tcPr>
            <w:tcW w:w="3697" w:type="dxa"/>
            <w:shd w:val="clear" w:color="auto" w:fill="FAFFEE"/>
          </w:tcPr>
          <w:p w14:paraId="18EC663B" w14:textId="77777777" w:rsidR="00073A7E" w:rsidRPr="00F97425" w:rsidRDefault="00073A7E" w:rsidP="00073A7E">
            <w:pPr>
              <w:pStyle w:val="table"/>
            </w:pPr>
            <w:r w:rsidRPr="00F97425">
              <w:t>Asegurar que las actividades no exacerben divisiones ya existentes en la comunidad</w:t>
            </w:r>
          </w:p>
        </w:tc>
        <w:tc>
          <w:tcPr>
            <w:tcW w:w="3697" w:type="dxa"/>
            <w:shd w:val="clear" w:color="auto" w:fill="FAFFEE"/>
          </w:tcPr>
          <w:p w14:paraId="401AB7A1" w14:textId="77777777" w:rsidR="00073A7E" w:rsidRPr="00F97425" w:rsidRDefault="00073A7E" w:rsidP="00073A7E">
            <w:pPr>
              <w:pStyle w:val="table"/>
            </w:pPr>
            <w:r w:rsidRPr="00F97425">
              <w:t xml:space="preserve">Asegurar que las personas afectadas no tengan que tener un estatus legal </w:t>
            </w:r>
            <w:r w:rsidR="00F97425" w:rsidRPr="00F97425">
              <w:t>especial</w:t>
            </w:r>
            <w:r w:rsidRPr="00F97425">
              <w:t xml:space="preserve"> para recibir asistencia humanitaria y recibir protección</w:t>
            </w:r>
          </w:p>
        </w:tc>
        <w:tc>
          <w:tcPr>
            <w:tcW w:w="3697" w:type="dxa"/>
            <w:shd w:val="clear" w:color="auto" w:fill="FAFFEE"/>
          </w:tcPr>
          <w:p w14:paraId="5C037F4B" w14:textId="77777777" w:rsidR="00073A7E" w:rsidRPr="00F97425" w:rsidRDefault="00073A7E" w:rsidP="00073A7E">
            <w:pPr>
              <w:pStyle w:val="table"/>
            </w:pPr>
            <w:r w:rsidRPr="00F97425">
              <w:t>Alertar a los actores políticos, de orden público y militares relevantes acerca de violaciones que ocurren regularmente, para que las fuerzas militares puedan parar las violaciones</w:t>
            </w:r>
          </w:p>
        </w:tc>
        <w:tc>
          <w:tcPr>
            <w:tcW w:w="3697" w:type="dxa"/>
            <w:shd w:val="clear" w:color="auto" w:fill="FAFFEE"/>
          </w:tcPr>
          <w:p w14:paraId="0D3737FE" w14:textId="77777777" w:rsidR="00073A7E" w:rsidRPr="00F97425" w:rsidRDefault="00073A7E" w:rsidP="00073A7E">
            <w:pPr>
              <w:pStyle w:val="table"/>
            </w:pPr>
            <w:r w:rsidRPr="00F97425">
              <w:t>Referir a las personas que buscan justicia y compensación por pérdida de sus propiedades a las organizaciones que puedan proporcionarles tal apoyo.</w:t>
            </w:r>
          </w:p>
        </w:tc>
      </w:tr>
      <w:tr w:rsidR="00073A7E" w:rsidRPr="00F97425" w14:paraId="14929012" w14:textId="77777777" w:rsidTr="003B2134">
        <w:trPr>
          <w:cantSplit/>
        </w:trPr>
        <w:tc>
          <w:tcPr>
            <w:tcW w:w="3697" w:type="dxa"/>
            <w:shd w:val="clear" w:color="auto" w:fill="auto"/>
          </w:tcPr>
          <w:p w14:paraId="30C9D136" w14:textId="77777777" w:rsidR="00073A7E" w:rsidRPr="00F97425" w:rsidRDefault="00073A7E" w:rsidP="00073A7E">
            <w:pPr>
              <w:pStyle w:val="table"/>
            </w:pPr>
            <w:r w:rsidRPr="00F97425">
              <w:lastRenderedPageBreak/>
              <w:t>Dar instrucciones a su equipo acerca de la información de incidentes presenciados o alegaciones</w:t>
            </w:r>
          </w:p>
        </w:tc>
        <w:tc>
          <w:tcPr>
            <w:tcW w:w="3697" w:type="dxa"/>
            <w:shd w:val="clear" w:color="auto" w:fill="auto"/>
          </w:tcPr>
          <w:p w14:paraId="496BC85A" w14:textId="77777777" w:rsidR="00073A7E" w:rsidRPr="00F97425" w:rsidRDefault="00073A7E" w:rsidP="00073A7E">
            <w:pPr>
              <w:pStyle w:val="table"/>
            </w:pPr>
            <w:r w:rsidRPr="00F97425">
              <w:t>Asegurar que la asistencia que proporciona está basada únicamente en las necesidades y en proporción a las necesidades</w:t>
            </w:r>
          </w:p>
        </w:tc>
        <w:tc>
          <w:tcPr>
            <w:tcW w:w="3697" w:type="dxa"/>
            <w:shd w:val="clear" w:color="auto" w:fill="auto"/>
          </w:tcPr>
          <w:p w14:paraId="46F20654" w14:textId="77777777" w:rsidR="00073A7E" w:rsidRPr="00F97425" w:rsidRDefault="00073A7E" w:rsidP="00073A7E">
            <w:pPr>
              <w:pStyle w:val="table"/>
            </w:pPr>
            <w:r w:rsidRPr="00F97425">
              <w:t>Asegurar que las personas no están obligadas a quedarse o ir a un lugar que no es de su elección, como por ejemplo un campamento</w:t>
            </w:r>
          </w:p>
        </w:tc>
        <w:tc>
          <w:tcPr>
            <w:tcW w:w="3697" w:type="dxa"/>
            <w:shd w:val="clear" w:color="auto" w:fill="auto"/>
          </w:tcPr>
          <w:p w14:paraId="4DE991FE" w14:textId="77777777" w:rsidR="00073A7E" w:rsidRPr="00F97425" w:rsidRDefault="00073A7E" w:rsidP="00073A7E">
            <w:pPr>
              <w:pStyle w:val="table"/>
            </w:pPr>
            <w:r w:rsidRPr="00F97425">
              <w:t>Después de un ataque, violencia de género y problemas relacionados, apoye el acceso de personas a cuidados sanitarios y rehabilitación adecuados</w:t>
            </w:r>
          </w:p>
        </w:tc>
      </w:tr>
      <w:tr w:rsidR="00073A7E" w:rsidRPr="00F97425" w14:paraId="0D3495BA" w14:textId="77777777" w:rsidTr="003B2134">
        <w:trPr>
          <w:cantSplit/>
        </w:trPr>
        <w:tc>
          <w:tcPr>
            <w:tcW w:w="3697" w:type="dxa"/>
            <w:shd w:val="clear" w:color="auto" w:fill="FAFFEE"/>
          </w:tcPr>
          <w:p w14:paraId="55ADD15D" w14:textId="77777777" w:rsidR="00073A7E" w:rsidRPr="00F97425" w:rsidRDefault="00073A7E" w:rsidP="00073A7E">
            <w:pPr>
              <w:pStyle w:val="table"/>
            </w:pPr>
            <w:r w:rsidRPr="00F97425">
              <w:t>Planifique la distribución de asistencia de forma que minimice los robos</w:t>
            </w:r>
          </w:p>
        </w:tc>
        <w:tc>
          <w:tcPr>
            <w:tcW w:w="3697" w:type="dxa"/>
            <w:shd w:val="clear" w:color="auto" w:fill="FAFFEE"/>
          </w:tcPr>
          <w:p w14:paraId="0845B9ED" w14:textId="77777777" w:rsidR="00073A7E" w:rsidRPr="00F97425" w:rsidRDefault="00073A7E" w:rsidP="00073A7E">
            <w:pPr>
              <w:pStyle w:val="table"/>
            </w:pPr>
            <w:r w:rsidRPr="00F97425">
              <w:t>Al proveer asistencia a un grupo determinado, tal como desplazados internos en campamentos, asegúrese de que esta atención no sea al detrimento de otra sección de la población afectada</w:t>
            </w:r>
          </w:p>
        </w:tc>
        <w:tc>
          <w:tcPr>
            <w:tcW w:w="3697" w:type="dxa"/>
            <w:shd w:val="clear" w:color="auto" w:fill="FAFFEE"/>
          </w:tcPr>
          <w:p w14:paraId="75FA641B" w14:textId="77777777" w:rsidR="00073A7E" w:rsidRPr="00F97425" w:rsidRDefault="00073A7E" w:rsidP="00073A7E">
            <w:pPr>
              <w:pStyle w:val="table"/>
            </w:pPr>
            <w:r w:rsidRPr="00F97425">
              <w:t>Dar apoyo a las familias y a las comunidades en sus esfuerzos por mantener a salvo a los niños</w:t>
            </w:r>
          </w:p>
        </w:tc>
        <w:tc>
          <w:tcPr>
            <w:tcW w:w="3697" w:type="dxa"/>
            <w:shd w:val="clear" w:color="auto" w:fill="FAFFEE"/>
          </w:tcPr>
          <w:p w14:paraId="21DF43B1" w14:textId="77777777" w:rsidR="00073A7E" w:rsidRPr="00F97425" w:rsidRDefault="00073A7E" w:rsidP="00073A7E">
            <w:pPr>
              <w:pStyle w:val="table"/>
            </w:pPr>
            <w:r w:rsidRPr="00F97425">
              <w:t>Apoyar mecanismos de adaptación comunales positivos, tales como entierros, ceremonias y prácticas religiosas, además de prácticas culturales y sociales no dañinas</w:t>
            </w:r>
          </w:p>
        </w:tc>
      </w:tr>
      <w:tr w:rsidR="00073A7E" w:rsidRPr="00F97425" w14:paraId="49F7610F" w14:textId="77777777" w:rsidTr="003B2134">
        <w:trPr>
          <w:cantSplit/>
        </w:trPr>
        <w:tc>
          <w:tcPr>
            <w:tcW w:w="3697" w:type="dxa"/>
            <w:shd w:val="clear" w:color="auto" w:fill="auto"/>
          </w:tcPr>
          <w:p w14:paraId="3560AB6E" w14:textId="77777777" w:rsidR="00073A7E" w:rsidRPr="00F97425" w:rsidRDefault="00073A7E" w:rsidP="00073A7E">
            <w:pPr>
              <w:pStyle w:val="table"/>
            </w:pPr>
            <w:r w:rsidRPr="00F97425">
              <w:t>Compilar información acerca de abusos y violaciones de derechos específicos únicamente si la intención de uso es clara, y únicamente si su organización tiene un mandato de protección o tiene implementados la capacidad, las destrezas, los sistemas y los protocolos necesarios</w:t>
            </w:r>
          </w:p>
        </w:tc>
        <w:tc>
          <w:tcPr>
            <w:tcW w:w="3697" w:type="dxa"/>
            <w:shd w:val="clear" w:color="auto" w:fill="auto"/>
          </w:tcPr>
          <w:p w14:paraId="589D70E7" w14:textId="77777777" w:rsidR="00073A7E" w:rsidRPr="00F97425" w:rsidRDefault="00073A7E" w:rsidP="00073A7E">
            <w:pPr>
              <w:pStyle w:val="table"/>
            </w:pPr>
          </w:p>
        </w:tc>
        <w:tc>
          <w:tcPr>
            <w:tcW w:w="3697" w:type="dxa"/>
            <w:shd w:val="clear" w:color="auto" w:fill="auto"/>
          </w:tcPr>
          <w:p w14:paraId="2B0134DF" w14:textId="77777777" w:rsidR="00073A7E" w:rsidRPr="00F97425" w:rsidRDefault="00073A7E" w:rsidP="00073A7E">
            <w:pPr>
              <w:pStyle w:val="table"/>
            </w:pPr>
            <w:r w:rsidRPr="00F97425">
              <w:t>Implementar normas e instrumentos que previenen y erradican la explotación y el abuso sexual</w:t>
            </w:r>
          </w:p>
        </w:tc>
        <w:tc>
          <w:tcPr>
            <w:tcW w:w="3697" w:type="dxa"/>
            <w:shd w:val="clear" w:color="auto" w:fill="auto"/>
          </w:tcPr>
          <w:p w14:paraId="68561884" w14:textId="77777777" w:rsidR="00073A7E" w:rsidRPr="00F97425" w:rsidRDefault="00073A7E" w:rsidP="00073A7E">
            <w:pPr>
              <w:pStyle w:val="table"/>
            </w:pPr>
          </w:p>
        </w:tc>
      </w:tr>
      <w:tr w:rsidR="00073A7E" w:rsidRPr="00F97425" w14:paraId="7F0483DC" w14:textId="77777777" w:rsidTr="003B2134">
        <w:trPr>
          <w:cantSplit/>
        </w:trPr>
        <w:tc>
          <w:tcPr>
            <w:tcW w:w="3697" w:type="dxa"/>
            <w:shd w:val="clear" w:color="auto" w:fill="FAFFEE"/>
          </w:tcPr>
          <w:p w14:paraId="325365E0" w14:textId="77777777" w:rsidR="00073A7E" w:rsidRPr="00F97425" w:rsidRDefault="00073A7E" w:rsidP="00073A7E">
            <w:pPr>
              <w:pStyle w:val="table"/>
            </w:pPr>
          </w:p>
        </w:tc>
        <w:tc>
          <w:tcPr>
            <w:tcW w:w="3697" w:type="dxa"/>
            <w:shd w:val="clear" w:color="auto" w:fill="FAFFEE"/>
          </w:tcPr>
          <w:p w14:paraId="44780BA8" w14:textId="77777777" w:rsidR="00073A7E" w:rsidRPr="00F97425" w:rsidRDefault="00073A7E" w:rsidP="00073A7E">
            <w:pPr>
              <w:pStyle w:val="table"/>
            </w:pPr>
          </w:p>
        </w:tc>
        <w:tc>
          <w:tcPr>
            <w:tcW w:w="3697" w:type="dxa"/>
            <w:shd w:val="clear" w:color="auto" w:fill="FAFFEE"/>
          </w:tcPr>
          <w:p w14:paraId="4C63F83C" w14:textId="77777777" w:rsidR="00073A7E" w:rsidRPr="00F97425" w:rsidRDefault="00073A7E" w:rsidP="00073A7E">
            <w:pPr>
              <w:pStyle w:val="table"/>
            </w:pPr>
            <w:r w:rsidRPr="00F97425">
              <w:t>Enseñar a las personas cómo prevenir que se separen los niños de sus familias</w:t>
            </w:r>
          </w:p>
        </w:tc>
        <w:tc>
          <w:tcPr>
            <w:tcW w:w="3697" w:type="dxa"/>
            <w:shd w:val="clear" w:color="auto" w:fill="FAFFEE"/>
          </w:tcPr>
          <w:p w14:paraId="3236E539" w14:textId="77777777" w:rsidR="00073A7E" w:rsidRPr="00F97425" w:rsidRDefault="00073A7E" w:rsidP="00073A7E">
            <w:pPr>
              <w:pStyle w:val="table"/>
            </w:pPr>
          </w:p>
        </w:tc>
      </w:tr>
    </w:tbl>
    <w:p w14:paraId="6B438C0D" w14:textId="77777777" w:rsidR="003C6D92" w:rsidRPr="00F97425" w:rsidRDefault="003C6D92" w:rsidP="00235E88"/>
    <w:sectPr w:rsidR="003C6D92" w:rsidRPr="00F97425" w:rsidSect="00BB75BC">
      <w:headerReference w:type="default" r:id="rId19"/>
      <w:pgSz w:w="16840" w:h="11901" w:orient="landscape"/>
      <w:pgMar w:top="1418" w:right="1134" w:bottom="567" w:left="1134" w:header="709"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F03D69" w14:textId="77777777" w:rsidR="007D0E3E" w:rsidRDefault="007D0E3E" w:rsidP="002848CC">
      <w:pPr>
        <w:spacing w:before="0"/>
      </w:pPr>
      <w:r>
        <w:separator/>
      </w:r>
    </w:p>
  </w:endnote>
  <w:endnote w:type="continuationSeparator" w:id="0">
    <w:p w14:paraId="6C2554B2" w14:textId="77777777" w:rsidR="007D0E3E" w:rsidRDefault="007D0E3E"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PGothic">
    <w:altName w:val="Times New Roman"/>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24477" w14:textId="77777777" w:rsidR="00073A7E" w:rsidRPr="00F80F81" w:rsidRDefault="00073A7E" w:rsidP="00F80F81">
    <w:pPr>
      <w:pStyle w:val="Footer"/>
    </w:pPr>
    <w:r>
      <w:t xml:space="preserve">Módulo A12 – Esfera y los </w:t>
    </w:r>
    <w:r w:rsidR="00A121F5">
      <w:t>Principios</w:t>
    </w:r>
    <w:r>
      <w:t xml:space="preserve"> de Protección</w:t>
    </w:r>
    <w:r>
      <w:tab/>
      <w:t>Paquete de capacitación Esfera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4CA46" w14:textId="77777777" w:rsidR="00073A7E" w:rsidRPr="00C33B70" w:rsidRDefault="00C33B70" w:rsidP="00C33B70">
    <w:pPr>
      <w:pStyle w:val="Footer"/>
    </w:pPr>
    <w:r>
      <w:t xml:space="preserve">Módulo A12 – Esfera y los </w:t>
    </w:r>
    <w:r w:rsidR="00A121F5">
      <w:t>principios de p</w:t>
    </w:r>
    <w:r>
      <w:t>rotección</w:t>
    </w:r>
    <w:r>
      <w:tab/>
      <w:t>Paquete de capacitación Esfera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EC56D" w14:textId="77777777" w:rsidR="00073A7E" w:rsidRPr="00F51600" w:rsidRDefault="00073A7E" w:rsidP="00891199">
    <w:pPr>
      <w:pStyle w:val="Footer"/>
    </w:pPr>
    <w:r>
      <w:t xml:space="preserve">Módulo A12 – Esfera y los </w:t>
    </w:r>
    <w:r w:rsidR="00A121F5">
      <w:t>principios de p</w:t>
    </w:r>
    <w:r>
      <w:t>rotección</w:t>
    </w:r>
    <w:r>
      <w:tab/>
      <w:t>Paquete de capacitación Esfera 2015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44F197" w14:textId="77777777" w:rsidR="00073A7E" w:rsidRPr="0052647A" w:rsidRDefault="00073A7E" w:rsidP="0052647A">
    <w:pPr>
      <w:pStyle w:val="Footer"/>
      <w:tabs>
        <w:tab w:val="clear" w:pos="9356"/>
        <w:tab w:val="right" w:pos="14459"/>
      </w:tabs>
    </w:pPr>
    <w:r>
      <w:t xml:space="preserve">Módulo A12 – Esfera y los </w:t>
    </w:r>
    <w:r w:rsidR="00A121F5">
      <w:t>Principios</w:t>
    </w:r>
    <w:r>
      <w:t xml:space="preserve"> de Protección</w:t>
    </w:r>
    <w:r>
      <w:tab/>
      <w:t>Paquete de capacitación Esfera 2015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4A7EB" w14:textId="77777777" w:rsidR="00073A7E" w:rsidRPr="00F51600" w:rsidRDefault="00073A7E" w:rsidP="0052647A">
    <w:pPr>
      <w:pStyle w:val="Footer"/>
      <w:tabs>
        <w:tab w:val="clear" w:pos="9356"/>
        <w:tab w:val="right" w:pos="14459"/>
      </w:tabs>
    </w:pPr>
    <w:r>
      <w:t xml:space="preserve">Módulo A12 – Esfera y los </w:t>
    </w:r>
    <w:r w:rsidR="00A121F5">
      <w:t>principios de p</w:t>
    </w:r>
    <w:r>
      <w:t>rotección</w:t>
    </w:r>
    <w:r>
      <w:tab/>
      <w:t>Paquete de capacitación Esfera 2015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FAA55" w14:textId="77777777" w:rsidR="00073A7E" w:rsidRPr="00F51600" w:rsidRDefault="00073A7E" w:rsidP="00700614">
    <w:pPr>
      <w:pStyle w:val="Footer"/>
      <w:tabs>
        <w:tab w:val="clear" w:pos="9356"/>
        <w:tab w:val="right" w:pos="14459"/>
      </w:tabs>
    </w:pPr>
    <w:r>
      <w:t>Módulo A9 – Esfera y la Carta Humanitaria</w:t>
    </w:r>
    <w:r>
      <w:tab/>
      <w:t>Paquete de capacitación Esfera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0B5C0" w14:textId="77777777" w:rsidR="007D0E3E" w:rsidRDefault="007D0E3E" w:rsidP="002848CC">
      <w:pPr>
        <w:spacing w:before="0"/>
      </w:pPr>
      <w:r>
        <w:separator/>
      </w:r>
    </w:p>
  </w:footnote>
  <w:footnote w:type="continuationSeparator" w:id="0">
    <w:p w14:paraId="0306E291" w14:textId="77777777" w:rsidR="007D0E3E" w:rsidRDefault="007D0E3E" w:rsidP="002848CC">
      <w:pPr>
        <w:spacing w:before="0"/>
      </w:pPr>
      <w:r>
        <w:continuationSeparator/>
      </w:r>
    </w:p>
  </w:footnote>
  <w:footnote w:id="1">
    <w:p w14:paraId="01BD79C5" w14:textId="77777777" w:rsidR="00073A7E" w:rsidRPr="00F97425" w:rsidRDefault="00073A7E" w:rsidP="00F80F81">
      <w:pPr>
        <w:pStyle w:val="FootnoteText"/>
      </w:pPr>
      <w:r>
        <w:rPr>
          <w:rStyle w:val="FootnoteReference"/>
        </w:rPr>
        <w:footnoteRef/>
      </w:r>
      <w:r w:rsidRPr="00F97425">
        <w:t xml:space="preserve"> Manual </w:t>
      </w:r>
      <w:proofErr w:type="spellStart"/>
      <w:r w:rsidRPr="00F97425">
        <w:t>Church</w:t>
      </w:r>
      <w:proofErr w:type="spellEnd"/>
      <w:r w:rsidRPr="00F97425">
        <w:t xml:space="preserve"> </w:t>
      </w:r>
      <w:proofErr w:type="spellStart"/>
      <w:r w:rsidRPr="00F97425">
        <w:t>World</w:t>
      </w:r>
      <w:proofErr w:type="spellEnd"/>
      <w:r w:rsidRPr="00F97425">
        <w:t xml:space="preserve"> Service (CWS) </w:t>
      </w:r>
      <w:proofErr w:type="spellStart"/>
      <w:r w:rsidRPr="00F97425">
        <w:t>Protection</w:t>
      </w:r>
      <w:proofErr w:type="spellEnd"/>
      <w:r w:rsidRPr="00F97425">
        <w:t xml:space="preserve"> </w:t>
      </w:r>
      <w:proofErr w:type="spellStart"/>
      <w:r w:rsidRPr="00F97425">
        <w:t>Mainstreaming</w:t>
      </w:r>
      <w:proofErr w:type="spellEnd"/>
      <w:r w:rsidRPr="00F97425">
        <w:t xml:space="preserve">, edición de 2012 </w:t>
      </w:r>
    </w:p>
  </w:footnote>
  <w:footnote w:id="2">
    <w:p w14:paraId="5CF51E15" w14:textId="0CF55BE6" w:rsidR="00073A7E" w:rsidRPr="00A751EA" w:rsidRDefault="00073A7E" w:rsidP="0086550C">
      <w:pPr>
        <w:pStyle w:val="FootnoteText"/>
      </w:pPr>
      <w:r>
        <w:rPr>
          <w:rStyle w:val="FootnoteReference"/>
        </w:rPr>
        <w:footnoteRef/>
      </w:r>
      <w:r>
        <w:t xml:space="preserve"> Helen </w:t>
      </w:r>
      <w:proofErr w:type="spellStart"/>
      <w:r>
        <w:t>Nic</w:t>
      </w:r>
      <w:proofErr w:type="spellEnd"/>
      <w:r>
        <w:t xml:space="preserve"> An </w:t>
      </w:r>
      <w:proofErr w:type="spellStart"/>
      <w:r>
        <w:t>Ri</w:t>
      </w:r>
      <w:proofErr w:type="spellEnd"/>
      <w:r>
        <w:t>,</w:t>
      </w:r>
      <w:r w:rsidR="009F71CB">
        <w:t xml:space="preserve"> </w:t>
      </w:r>
      <w:r>
        <w:t xml:space="preserve">Paquete de capacitación de </w:t>
      </w:r>
      <w:proofErr w:type="spellStart"/>
      <w:r>
        <w:t>Trocaire</w:t>
      </w:r>
      <w:proofErr w:type="spellEnd"/>
      <w:r>
        <w:t xml:space="preserve"> sobre la integración de la protección</w:t>
      </w:r>
    </w:p>
  </w:footnote>
  <w:footnote w:id="3">
    <w:p w14:paraId="428FE938" w14:textId="77777777" w:rsidR="00073A7E" w:rsidRPr="00F97425" w:rsidRDefault="00073A7E" w:rsidP="0086550C">
      <w:pPr>
        <w:pStyle w:val="FootnoteText"/>
      </w:pPr>
      <w:r>
        <w:rPr>
          <w:rStyle w:val="FootnoteReference"/>
        </w:rPr>
        <w:footnoteRef/>
      </w:r>
      <w:r w:rsidRPr="00F97425">
        <w:t xml:space="preserve"> </w:t>
      </w:r>
      <w:proofErr w:type="spellStart"/>
      <w:r w:rsidRPr="00F97425">
        <w:t>Irin</w:t>
      </w:r>
      <w:proofErr w:type="spellEnd"/>
      <w:r w:rsidRPr="00F97425">
        <w:t xml:space="preserve"> News: Entrevista a James </w:t>
      </w:r>
      <w:proofErr w:type="spellStart"/>
      <w:r w:rsidRPr="00F97425">
        <w:t>Darcy</w:t>
      </w:r>
      <w:proofErr w:type="spellEnd"/>
      <w:r w:rsidRPr="00F97425">
        <w:t xml:space="preserve">, Investigador adjunto, </w:t>
      </w:r>
      <w:proofErr w:type="spellStart"/>
      <w:r w:rsidRPr="00F97425">
        <w:t>Humanitarian</w:t>
      </w:r>
      <w:proofErr w:type="spellEnd"/>
      <w:r w:rsidRPr="00F97425">
        <w:t xml:space="preserve"> </w:t>
      </w:r>
      <w:proofErr w:type="spellStart"/>
      <w:r w:rsidRPr="00F97425">
        <w:t>Policy</w:t>
      </w:r>
      <w:proofErr w:type="spellEnd"/>
      <w:r w:rsidRPr="00F97425">
        <w:t xml:space="preserve"> </w:t>
      </w:r>
      <w:proofErr w:type="spellStart"/>
      <w:r w:rsidRPr="00F97425">
        <w:t>Group</w:t>
      </w:r>
      <w:proofErr w:type="spellEnd"/>
      <w:r w:rsidRPr="00F97425">
        <w:t xml:space="preserve"> of the </w:t>
      </w:r>
      <w:proofErr w:type="spellStart"/>
      <w:r w:rsidRPr="00F97425">
        <w:t>Overseas</w:t>
      </w:r>
      <w:proofErr w:type="spellEnd"/>
      <w:r w:rsidRPr="00F97425">
        <w:t xml:space="preserve"> </w:t>
      </w:r>
      <w:proofErr w:type="spellStart"/>
      <w:r w:rsidRPr="00F97425">
        <w:t>Development</w:t>
      </w:r>
      <w:proofErr w:type="spellEnd"/>
      <w:r w:rsidRPr="00F97425">
        <w:t xml:space="preserve"> </w:t>
      </w:r>
      <w:proofErr w:type="spellStart"/>
      <w:r w:rsidRPr="00F97425">
        <w:t>Institute</w:t>
      </w:r>
      <w:proofErr w:type="spellEnd"/>
      <w:r w:rsidRPr="00F97425">
        <w:t xml:space="preserve">, </w:t>
      </w:r>
      <w:hyperlink r:id="rId1">
        <w:r w:rsidRPr="00F97425">
          <w:rPr>
            <w:rStyle w:val="Hyperlink"/>
          </w:rPr>
          <w:t>www.irinnews.org/in-depth/70567/31/united-kingdom-irin-interview-with-james-darcy</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901E93" w14:textId="77777777" w:rsidR="00073A7E" w:rsidRPr="004F1D9A" w:rsidRDefault="00073A7E" w:rsidP="00891199">
    <w:pPr>
      <w:pStyle w:val="Header"/>
    </w:pPr>
    <w:r>
      <w:t>Impresos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9737AD" w14:textId="77777777" w:rsidR="00073A7E" w:rsidRPr="00175CA3" w:rsidRDefault="00073A7E" w:rsidP="00891199">
    <w:pPr>
      <w:pStyle w:val="Header"/>
    </w:pPr>
    <w:r>
      <w:t>Impresos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D7DDD" w14:textId="77777777" w:rsidR="00073A7E" w:rsidRPr="00A1311D" w:rsidRDefault="00073A7E" w:rsidP="00F51600">
    <w:pPr>
      <w:pStyle w:val="Heading1"/>
      <w:rPr>
        <w:szCs w:val="28"/>
      </w:rPr>
    </w:pPr>
    <w:r>
      <w:t xml:space="preserve">Módulo A12 – Esfera y los </w:t>
    </w:r>
    <w:r w:rsidR="00A121F5">
      <w:t>principios</w:t>
    </w:r>
    <w:r>
      <w:t xml:space="preserve"> de protección</w:t>
    </w:r>
    <w:r>
      <w:tab/>
    </w:r>
    <w:bookmarkStart w:id="0" w:name="_GoBack"/>
    <w:r w:rsidRPr="00A1311D">
      <w:rPr>
        <w:color w:val="579305"/>
        <w:szCs w:val="28"/>
      </w:rPr>
      <w:t>Impresos</w:t>
    </w:r>
  </w:p>
  <w:bookmarkEnd w:id="0"/>
  <w:p w14:paraId="56C28B3C" w14:textId="77777777" w:rsidR="00073A7E" w:rsidRPr="00792B8B" w:rsidRDefault="00A121F5" w:rsidP="003B2134">
    <w:pPr>
      <w:pStyle w:val="Heading2"/>
      <w:pBdr>
        <w:bottom w:val="single" w:sz="4" w:space="4" w:color="004386"/>
      </w:pBdr>
      <w:spacing w:after="0"/>
    </w:pPr>
    <w:r>
      <w:t>¿Qué</w:t>
    </w:r>
    <w:r w:rsidR="00073A7E">
      <w:t xml:space="preserve"> son los </w:t>
    </w:r>
    <w:r>
      <w:t>principios</w:t>
    </w:r>
    <w:r w:rsidR="00073A7E">
      <w:t xml:space="preserve"> de protección de Esfera y por qué son importantes para todos los actores humanitarios?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EA5C9" w14:textId="77777777" w:rsidR="00073A7E" w:rsidRPr="0052647A" w:rsidRDefault="00073A7E" w:rsidP="0052647A">
    <w:pPr>
      <w:pStyle w:val="Header"/>
      <w:tabs>
        <w:tab w:val="clear" w:pos="9356"/>
        <w:tab w:val="right" w:pos="14601"/>
      </w:tabs>
      <w:jc w:val="left"/>
    </w:pPr>
    <w:r w:rsidRPr="003B2134">
      <w:rPr>
        <w:color w:val="004386"/>
      </w:rPr>
      <w:t>Los principios de protección en acción</w:t>
    </w:r>
    <w:r>
      <w:tab/>
      <w:t>Impresos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1C092A" w14:textId="77777777" w:rsidR="00073A7E" w:rsidRPr="0052647A" w:rsidRDefault="00073A7E" w:rsidP="0052647A">
    <w:pPr>
      <w:pStyle w:val="Header"/>
      <w:tabs>
        <w:tab w:val="clear" w:pos="9356"/>
        <w:tab w:val="right" w:pos="14601"/>
      </w:tabs>
      <w:jc w:val="left"/>
    </w:pPr>
    <w:r w:rsidRPr="003B2134">
      <w:rPr>
        <w:color w:val="004386"/>
      </w:rPr>
      <w:t>Los principios de protección en acción</w:t>
    </w:r>
    <w:r>
      <w:tab/>
      <w:t>Impresos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F6E44F" w14:textId="77777777" w:rsidR="00073A7E" w:rsidRPr="003E013F" w:rsidRDefault="00073A7E" w:rsidP="00700614">
    <w:pPr>
      <w:pStyle w:val="Heading1"/>
      <w:tabs>
        <w:tab w:val="clear" w:pos="9356"/>
        <w:tab w:val="right" w:pos="14459"/>
      </w:tabs>
    </w:pPr>
    <w:r>
      <w:tab/>
    </w:r>
    <w:r w:rsidRPr="003B2134">
      <w:rPr>
        <w:color w:val="579305"/>
        <w:sz w:val="24"/>
        <w:szCs w:val="24"/>
      </w:rPr>
      <w:t>Impresos</w:t>
    </w:r>
  </w:p>
  <w:p w14:paraId="4FA17614" w14:textId="77777777" w:rsidR="00073A7E" w:rsidRPr="00792B8B" w:rsidRDefault="00073A7E" w:rsidP="003B2134">
    <w:pPr>
      <w:pStyle w:val="Heading2"/>
      <w:pBdr>
        <w:bottom w:val="single" w:sz="4" w:space="4" w:color="004386"/>
      </w:pBdr>
      <w:spacing w:after="0"/>
    </w:pPr>
    <w:r>
      <w:t>¿Qué es la Carta Humanitaria y como debe referirse a ella en su trabajo?</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82B985" w14:textId="77777777" w:rsidR="00073A7E" w:rsidRPr="0052647A" w:rsidRDefault="00073A7E" w:rsidP="0052647A">
    <w:pPr>
      <w:pStyle w:val="Header"/>
      <w:tabs>
        <w:tab w:val="clear" w:pos="9356"/>
        <w:tab w:val="right" w:pos="14601"/>
      </w:tabs>
      <w:jc w:val="left"/>
    </w:pPr>
    <w:r w:rsidRPr="003B2134">
      <w:rPr>
        <w:color w:val="004386"/>
      </w:rPr>
      <w:t>Los principios de protección en acción: respuestas sugeridas</w:t>
    </w:r>
    <w:r>
      <w:tab/>
      <w:t>Impresos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5E25B5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3"/>
    <w:multiLevelType w:val="singleLevel"/>
    <w:tmpl w:val="C4D47E64"/>
    <w:lvl w:ilvl="0">
      <w:start w:val="1"/>
      <w:numFmt w:val="bullet"/>
      <w:lvlText w:val=""/>
      <w:lvlJc w:val="left"/>
      <w:pPr>
        <w:tabs>
          <w:tab w:val="num" w:pos="360"/>
        </w:tabs>
        <w:ind w:left="284" w:hanging="284"/>
      </w:pPr>
      <w:rPr>
        <w:rFonts w:ascii="Symbol" w:hAnsi="Symbol" w:hint="default"/>
        <w:b w:val="0"/>
        <w:i w:val="0"/>
        <w:sz w:val="20"/>
      </w:rPr>
    </w:lvl>
  </w:abstractNum>
  <w:abstractNum w:abstractNumId="2">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02082DCA"/>
    <w:multiLevelType w:val="hybridMultilevel"/>
    <w:tmpl w:val="C1EAB630"/>
    <w:lvl w:ilvl="0" w:tplc="97CCFBDE">
      <w:start w:val="1"/>
      <w:numFmt w:val="bullet"/>
      <w:pStyle w:val="sub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5">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0D7DD3"/>
    <w:multiLevelType w:val="hybridMultilevel"/>
    <w:tmpl w:val="0DC22FB2"/>
    <w:lvl w:ilvl="0" w:tplc="BD68BE1C">
      <w:start w:val="1"/>
      <w:numFmt w:val="bullet"/>
      <w:pStyle w:val="bullet"/>
      <w:lvlText w:val=""/>
      <w:lvlJc w:val="left"/>
      <w:pPr>
        <w:ind w:left="284" w:hanging="284"/>
      </w:pPr>
      <w:rPr>
        <w:rFonts w:ascii="Symbol" w:hAnsi="Symbol" w:hint="default"/>
        <w:color w:val="00438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25672F"/>
    <w:multiLevelType w:val="hybridMultilevel"/>
    <w:tmpl w:val="5882EF42"/>
    <w:lvl w:ilvl="0" w:tplc="A6F0BB26">
      <w:start w:val="1"/>
      <w:numFmt w:val="bullet"/>
      <w:pStyle w:val="table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1980635"/>
    <w:multiLevelType w:val="multilevel"/>
    <w:tmpl w:val="0DC22FB2"/>
    <w:lvl w:ilvl="0">
      <w:start w:val="1"/>
      <w:numFmt w:val="bullet"/>
      <w:lvlText w:val=""/>
      <w:lvlJc w:val="left"/>
      <w:pPr>
        <w:ind w:left="284" w:hanging="284"/>
      </w:pPr>
      <w:rPr>
        <w:rFonts w:ascii="Symbol" w:hAnsi="Symbol" w:hint="default"/>
        <w:color w:val="0043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4"/>
  </w:num>
  <w:num w:numId="4">
    <w:abstractNumId w:val="4"/>
  </w:num>
  <w:num w:numId="5">
    <w:abstractNumId w:val="4"/>
  </w:num>
  <w:num w:numId="6">
    <w:abstractNumId w:val="4"/>
  </w:num>
  <w:num w:numId="7">
    <w:abstractNumId w:val="2"/>
  </w:num>
  <w:num w:numId="8">
    <w:abstractNumId w:val="13"/>
  </w:num>
  <w:num w:numId="9">
    <w:abstractNumId w:val="8"/>
  </w:num>
  <w:num w:numId="10">
    <w:abstractNumId w:val="11"/>
  </w:num>
  <w:num w:numId="11">
    <w:abstractNumId w:val="5"/>
  </w:num>
  <w:num w:numId="12">
    <w:abstractNumId w:val="10"/>
  </w:num>
  <w:num w:numId="13">
    <w:abstractNumId w:val="9"/>
  </w:num>
  <w:num w:numId="14">
    <w:abstractNumId w:val="6"/>
  </w:num>
  <w:num w:numId="15">
    <w:abstractNumId w:val="7"/>
  </w:num>
  <w:num w:numId="16">
    <w:abstractNumId w:val="6"/>
  </w:num>
  <w:num w:numId="17">
    <w:abstractNumId w:val="7"/>
  </w:num>
  <w:num w:numId="18">
    <w:abstractNumId w:val="12"/>
  </w:num>
  <w:num w:numId="19">
    <w:abstractNumId w:val="3"/>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es-ES_tradnl"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146"/>
    <w:rsid w:val="0001418D"/>
    <w:rsid w:val="0004713A"/>
    <w:rsid w:val="0005284F"/>
    <w:rsid w:val="00073A7E"/>
    <w:rsid w:val="000765B7"/>
    <w:rsid w:val="000C131D"/>
    <w:rsid w:val="00110467"/>
    <w:rsid w:val="0013229F"/>
    <w:rsid w:val="00144112"/>
    <w:rsid w:val="0015588F"/>
    <w:rsid w:val="00164B4E"/>
    <w:rsid w:val="0016592C"/>
    <w:rsid w:val="001713BA"/>
    <w:rsid w:val="001737A1"/>
    <w:rsid w:val="001740C0"/>
    <w:rsid w:val="00175CA3"/>
    <w:rsid w:val="001869EC"/>
    <w:rsid w:val="001C7F2F"/>
    <w:rsid w:val="001D0724"/>
    <w:rsid w:val="001D7A65"/>
    <w:rsid w:val="001E1BE3"/>
    <w:rsid w:val="001F455D"/>
    <w:rsid w:val="001F7F75"/>
    <w:rsid w:val="00200D4D"/>
    <w:rsid w:val="00205074"/>
    <w:rsid w:val="00211B8D"/>
    <w:rsid w:val="002201FF"/>
    <w:rsid w:val="00235E88"/>
    <w:rsid w:val="00237D09"/>
    <w:rsid w:val="00241992"/>
    <w:rsid w:val="00260F31"/>
    <w:rsid w:val="00267AF2"/>
    <w:rsid w:val="00274BC6"/>
    <w:rsid w:val="002779C7"/>
    <w:rsid w:val="002848CC"/>
    <w:rsid w:val="002933E5"/>
    <w:rsid w:val="002958E2"/>
    <w:rsid w:val="002B087B"/>
    <w:rsid w:val="002D3B86"/>
    <w:rsid w:val="002E454B"/>
    <w:rsid w:val="002F08D2"/>
    <w:rsid w:val="002F1BB8"/>
    <w:rsid w:val="002F2B87"/>
    <w:rsid w:val="002F3336"/>
    <w:rsid w:val="0030064E"/>
    <w:rsid w:val="00314ADC"/>
    <w:rsid w:val="00315E11"/>
    <w:rsid w:val="00360466"/>
    <w:rsid w:val="0036192C"/>
    <w:rsid w:val="00370153"/>
    <w:rsid w:val="0037263F"/>
    <w:rsid w:val="003918D7"/>
    <w:rsid w:val="003A4483"/>
    <w:rsid w:val="003B1493"/>
    <w:rsid w:val="003B2134"/>
    <w:rsid w:val="003C469E"/>
    <w:rsid w:val="003C5331"/>
    <w:rsid w:val="003C6D92"/>
    <w:rsid w:val="003E013F"/>
    <w:rsid w:val="003E2279"/>
    <w:rsid w:val="003E2DB9"/>
    <w:rsid w:val="003F0EB3"/>
    <w:rsid w:val="004231C3"/>
    <w:rsid w:val="0043797B"/>
    <w:rsid w:val="0045590B"/>
    <w:rsid w:val="00463DB5"/>
    <w:rsid w:val="004A5AA2"/>
    <w:rsid w:val="004D7062"/>
    <w:rsid w:val="004F1D9A"/>
    <w:rsid w:val="0050225B"/>
    <w:rsid w:val="0052647A"/>
    <w:rsid w:val="00535553"/>
    <w:rsid w:val="005751FD"/>
    <w:rsid w:val="005848E9"/>
    <w:rsid w:val="005F616B"/>
    <w:rsid w:val="005F6AEE"/>
    <w:rsid w:val="00601FF7"/>
    <w:rsid w:val="00620E7C"/>
    <w:rsid w:val="0062536D"/>
    <w:rsid w:val="0063519D"/>
    <w:rsid w:val="00637110"/>
    <w:rsid w:val="00690F64"/>
    <w:rsid w:val="00697502"/>
    <w:rsid w:val="006C099B"/>
    <w:rsid w:val="006D149B"/>
    <w:rsid w:val="006D75F8"/>
    <w:rsid w:val="006E05EF"/>
    <w:rsid w:val="006E74C4"/>
    <w:rsid w:val="00700614"/>
    <w:rsid w:val="007030AE"/>
    <w:rsid w:val="00712B47"/>
    <w:rsid w:val="00714CE1"/>
    <w:rsid w:val="00715CA8"/>
    <w:rsid w:val="00731755"/>
    <w:rsid w:val="007577CE"/>
    <w:rsid w:val="00761400"/>
    <w:rsid w:val="00762D79"/>
    <w:rsid w:val="00775878"/>
    <w:rsid w:val="00777487"/>
    <w:rsid w:val="00781146"/>
    <w:rsid w:val="00792013"/>
    <w:rsid w:val="00792B8B"/>
    <w:rsid w:val="007A255B"/>
    <w:rsid w:val="007A4412"/>
    <w:rsid w:val="007A7ACB"/>
    <w:rsid w:val="007B3E00"/>
    <w:rsid w:val="007D0E3E"/>
    <w:rsid w:val="007E479A"/>
    <w:rsid w:val="007F4C42"/>
    <w:rsid w:val="00810AFF"/>
    <w:rsid w:val="00811B63"/>
    <w:rsid w:val="00816A31"/>
    <w:rsid w:val="00825D04"/>
    <w:rsid w:val="008260A5"/>
    <w:rsid w:val="008647F3"/>
    <w:rsid w:val="008652CA"/>
    <w:rsid w:val="0086550C"/>
    <w:rsid w:val="0087787A"/>
    <w:rsid w:val="00886C42"/>
    <w:rsid w:val="00891199"/>
    <w:rsid w:val="008B4444"/>
    <w:rsid w:val="008B7D3C"/>
    <w:rsid w:val="008D02B4"/>
    <w:rsid w:val="008F7DE8"/>
    <w:rsid w:val="0090172B"/>
    <w:rsid w:val="0090692F"/>
    <w:rsid w:val="00925784"/>
    <w:rsid w:val="00937519"/>
    <w:rsid w:val="00942824"/>
    <w:rsid w:val="009516C3"/>
    <w:rsid w:val="00971AD2"/>
    <w:rsid w:val="00981544"/>
    <w:rsid w:val="0098193F"/>
    <w:rsid w:val="00995549"/>
    <w:rsid w:val="009C6C4F"/>
    <w:rsid w:val="009D6A86"/>
    <w:rsid w:val="009D7027"/>
    <w:rsid w:val="009D77BF"/>
    <w:rsid w:val="009E270C"/>
    <w:rsid w:val="009E4123"/>
    <w:rsid w:val="009F71CB"/>
    <w:rsid w:val="00A030A7"/>
    <w:rsid w:val="00A121F5"/>
    <w:rsid w:val="00A1311D"/>
    <w:rsid w:val="00A362E5"/>
    <w:rsid w:val="00A46634"/>
    <w:rsid w:val="00A5730E"/>
    <w:rsid w:val="00A80DF5"/>
    <w:rsid w:val="00A93E89"/>
    <w:rsid w:val="00A95124"/>
    <w:rsid w:val="00AB088B"/>
    <w:rsid w:val="00AD30D2"/>
    <w:rsid w:val="00AF36C0"/>
    <w:rsid w:val="00B40995"/>
    <w:rsid w:val="00B572C2"/>
    <w:rsid w:val="00B70E34"/>
    <w:rsid w:val="00B71B20"/>
    <w:rsid w:val="00B91AAC"/>
    <w:rsid w:val="00B97032"/>
    <w:rsid w:val="00BB75BC"/>
    <w:rsid w:val="00BE3D5B"/>
    <w:rsid w:val="00BF47EE"/>
    <w:rsid w:val="00C0309C"/>
    <w:rsid w:val="00C32D00"/>
    <w:rsid w:val="00C33B70"/>
    <w:rsid w:val="00C35B0F"/>
    <w:rsid w:val="00C507F3"/>
    <w:rsid w:val="00C86EF1"/>
    <w:rsid w:val="00CE1AF7"/>
    <w:rsid w:val="00D064C5"/>
    <w:rsid w:val="00D221A6"/>
    <w:rsid w:val="00D34FFC"/>
    <w:rsid w:val="00D54219"/>
    <w:rsid w:val="00D90736"/>
    <w:rsid w:val="00DC5F50"/>
    <w:rsid w:val="00DD0F73"/>
    <w:rsid w:val="00DE202F"/>
    <w:rsid w:val="00DE210D"/>
    <w:rsid w:val="00DE21D3"/>
    <w:rsid w:val="00DF2534"/>
    <w:rsid w:val="00E15219"/>
    <w:rsid w:val="00E2620E"/>
    <w:rsid w:val="00E26D30"/>
    <w:rsid w:val="00E36E68"/>
    <w:rsid w:val="00E56AF5"/>
    <w:rsid w:val="00E71C66"/>
    <w:rsid w:val="00E72DC7"/>
    <w:rsid w:val="00E8474E"/>
    <w:rsid w:val="00E9728D"/>
    <w:rsid w:val="00EA1F0B"/>
    <w:rsid w:val="00EB14C9"/>
    <w:rsid w:val="00EE535D"/>
    <w:rsid w:val="00EF3932"/>
    <w:rsid w:val="00F25952"/>
    <w:rsid w:val="00F32298"/>
    <w:rsid w:val="00F51600"/>
    <w:rsid w:val="00F52152"/>
    <w:rsid w:val="00F66ABC"/>
    <w:rsid w:val="00F67F82"/>
    <w:rsid w:val="00F72102"/>
    <w:rsid w:val="00F80F81"/>
    <w:rsid w:val="00F961DF"/>
    <w:rsid w:val="00F97425"/>
    <w:rsid w:val="00F97BB3"/>
    <w:rsid w:val="00FA7F78"/>
    <w:rsid w:val="00FB3F41"/>
    <w:rsid w:val="00FF745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831D84"/>
  <w15:docId w15:val="{F4E811C0-BF55-44B6-9FE3-0CE9315CE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777487"/>
    <w:pPr>
      <w:spacing w:before="120" w:line="240" w:lineRule="atLeast"/>
    </w:pPr>
    <w:rPr>
      <w:bCs/>
      <w:sz w:val="22"/>
      <w:szCs w:val="24"/>
      <w:lang w:val="es-ES_tradnl" w:eastAsia="es-ES"/>
    </w:rPr>
  </w:style>
  <w:style w:type="paragraph" w:styleId="Heading1">
    <w:name w:val="heading 1"/>
    <w:aliases w:val="h1"/>
    <w:basedOn w:val="Normal"/>
    <w:next w:val="Normal"/>
    <w:link w:val="Heading1Char"/>
    <w:qFormat/>
    <w:rsid w:val="00891199"/>
    <w:pPr>
      <w:keepNext/>
      <w:tabs>
        <w:tab w:val="right" w:pos="9356"/>
      </w:tabs>
      <w:spacing w:before="0" w:line="240" w:lineRule="auto"/>
      <w:outlineLvl w:val="0"/>
    </w:pPr>
    <w:rPr>
      <w:rFonts w:ascii="Tahoma" w:hAnsi="Tahoma" w:cs="Tahoma"/>
      <w:b/>
      <w:color w:val="004386"/>
      <w:kern w:val="32"/>
      <w:sz w:val="28"/>
      <w:szCs w:val="32"/>
    </w:rPr>
  </w:style>
  <w:style w:type="paragraph" w:styleId="Heading2">
    <w:name w:val="heading 2"/>
    <w:aliases w:val="h2"/>
    <w:basedOn w:val="Heading1"/>
    <w:next w:val="Normal"/>
    <w:link w:val="Heading2Char"/>
    <w:qFormat/>
    <w:rsid w:val="004231C3"/>
    <w:pPr>
      <w:spacing w:before="160" w:after="400"/>
      <w:outlineLvl w:val="1"/>
    </w:pPr>
    <w:rPr>
      <w:rFonts w:cs="Arial"/>
      <w:b w:val="0"/>
      <w:i/>
      <w:sz w:val="24"/>
    </w:rPr>
  </w:style>
  <w:style w:type="paragraph" w:styleId="Heading3">
    <w:name w:val="heading 3"/>
    <w:aliases w:val="h3"/>
    <w:basedOn w:val="Heading2"/>
    <w:next w:val="Normal"/>
    <w:link w:val="Heading3Char"/>
    <w:qFormat/>
    <w:rsid w:val="005848E9"/>
    <w:pPr>
      <w:spacing w:after="0"/>
      <w:outlineLvl w:val="2"/>
    </w:pPr>
    <w:rPr>
      <w:b/>
      <w:i w:val="0"/>
      <w:sz w:val="22"/>
      <w:szCs w:val="24"/>
    </w:rPr>
  </w:style>
  <w:style w:type="paragraph" w:styleId="Heading4">
    <w:name w:val="heading 4"/>
    <w:aliases w:val="h4"/>
    <w:basedOn w:val="Heading3"/>
    <w:next w:val="Normal"/>
    <w:link w:val="Heading4Char"/>
    <w:uiPriority w:val="9"/>
    <w:unhideWhenUsed/>
    <w:qFormat/>
    <w:rsid w:val="00F51600"/>
    <w:pPr>
      <w:keepLines/>
      <w:spacing w:after="160"/>
      <w:outlineLvl w:val="3"/>
    </w:pPr>
    <w:rPr>
      <w:rFonts w:cs="Times New Roman"/>
    </w:rPr>
  </w:style>
  <w:style w:type="paragraph" w:styleId="Heading5">
    <w:name w:val="heading 5"/>
    <w:basedOn w:val="Normal"/>
    <w:next w:val="Normal"/>
    <w:link w:val="Heading5Char"/>
    <w:qFormat/>
    <w:rsid w:val="00C33B70"/>
    <w:pPr>
      <w:spacing w:before="200"/>
      <w:outlineLvl w:val="4"/>
    </w:pPr>
    <w:rPr>
      <w:b/>
      <w:iCs/>
      <w:color w:val="00438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rsid w:val="00891199"/>
    <w:rPr>
      <w:rFonts w:ascii="Tahoma" w:eastAsia="Times New Roman" w:hAnsi="Tahoma" w:cs="Tahoma"/>
      <w:b/>
      <w:bCs/>
      <w:color w:val="004386"/>
      <w:kern w:val="32"/>
      <w:sz w:val="28"/>
      <w:szCs w:val="32"/>
      <w:lang w:val="en-GB" w:eastAsia="es-ES"/>
    </w:rPr>
  </w:style>
  <w:style w:type="character" w:customStyle="1" w:styleId="Heading2Char">
    <w:name w:val="Heading 2 Char"/>
    <w:aliases w:val="h2 Char"/>
    <w:link w:val="Heading2"/>
    <w:rsid w:val="004231C3"/>
    <w:rPr>
      <w:rFonts w:ascii="Tahoma" w:eastAsia="Times New Roman" w:hAnsi="Tahoma" w:cs="Arial"/>
      <w:bCs/>
      <w:i/>
      <w:color w:val="004386"/>
      <w:kern w:val="32"/>
      <w:sz w:val="24"/>
      <w:szCs w:val="32"/>
      <w:lang w:val="en-GB" w:eastAsia="es-ES"/>
    </w:rPr>
  </w:style>
  <w:style w:type="character" w:customStyle="1" w:styleId="Heading3Char">
    <w:name w:val="Heading 3 Char"/>
    <w:aliases w:val="h3 Char"/>
    <w:link w:val="Heading3"/>
    <w:rsid w:val="005848E9"/>
    <w:rPr>
      <w:rFonts w:ascii="Tahoma" w:eastAsia="Times New Roman" w:hAnsi="Tahoma" w:cs="Arial"/>
      <w:b/>
      <w:bCs/>
      <w:color w:val="004386"/>
      <w:kern w:val="32"/>
      <w:sz w:val="22"/>
      <w:szCs w:val="24"/>
      <w:lang w:val="en-GB" w:eastAsia="es-ES"/>
    </w:rPr>
  </w:style>
  <w:style w:type="character" w:customStyle="1" w:styleId="Heading4Char">
    <w:name w:val="Heading 4 Char"/>
    <w:aliases w:val="h4 Char"/>
    <w:link w:val="Heading4"/>
    <w:uiPriority w:val="9"/>
    <w:rsid w:val="00F51600"/>
    <w:rPr>
      <w:rFonts w:ascii="Tahoma" w:eastAsia="Times New Roman" w:hAnsi="Tahoma" w:cs="Times New Roman"/>
      <w:b/>
      <w:bCs/>
      <w:color w:val="004386"/>
      <w:kern w:val="32"/>
      <w:sz w:val="24"/>
      <w:szCs w:val="24"/>
      <w:lang w:val="en-GB" w:eastAsia="es-ES"/>
    </w:rPr>
  </w:style>
  <w:style w:type="character" w:customStyle="1" w:styleId="Heading5Char">
    <w:name w:val="Heading 5 Char"/>
    <w:link w:val="Heading5"/>
    <w:rsid w:val="00C33B70"/>
    <w:rPr>
      <w:b/>
      <w:bCs/>
      <w:iCs/>
      <w:color w:val="004386"/>
      <w:sz w:val="22"/>
      <w:szCs w:val="26"/>
      <w:lang w:val="en-GB" w:eastAsia="es-ES"/>
    </w:rPr>
  </w:style>
  <w:style w:type="paragraph" w:styleId="Caption">
    <w:name w:val="caption"/>
    <w:basedOn w:val="Normal"/>
    <w:next w:val="Normal"/>
    <w:uiPriority w:val="35"/>
    <w:unhideWhenUsed/>
    <w:qFormat/>
    <w:rsid w:val="00205074"/>
    <w:pPr>
      <w:spacing w:before="0" w:after="200"/>
    </w:pPr>
    <w:rPr>
      <w:rFonts w:eastAsia="Calibri"/>
      <w:b/>
      <w:color w:val="579305"/>
      <w:sz w:val="18"/>
      <w:szCs w:val="18"/>
      <w:lang w:eastAsia="en-US"/>
    </w:rPr>
  </w:style>
  <w:style w:type="character" w:styleId="Emphasis">
    <w:name w:val="Emphasis"/>
    <w:qFormat/>
    <w:rsid w:val="00205074"/>
    <w:rPr>
      <w:b/>
      <w:i w:val="0"/>
      <w:iCs/>
    </w:rPr>
  </w:style>
  <w:style w:type="table" w:styleId="TableGrid">
    <w:name w:val="Table Grid"/>
    <w:basedOn w:val="TableNormal"/>
    <w:uiPriority w:val="59"/>
    <w:rsid w:val="002050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5074"/>
    <w:rPr>
      <w:color w:val="004386"/>
      <w:u w:val="single"/>
    </w:rPr>
  </w:style>
  <w:style w:type="paragraph" w:styleId="BalloonText">
    <w:name w:val="Balloon Text"/>
    <w:basedOn w:val="Normal"/>
    <w:link w:val="BalloonTextChar"/>
    <w:uiPriority w:val="99"/>
    <w:semiHidden/>
    <w:unhideWhenUsed/>
    <w:rsid w:val="00205074"/>
    <w:pPr>
      <w:spacing w:before="0"/>
    </w:pPr>
    <w:rPr>
      <w:rFonts w:cs="Tahoma"/>
      <w:sz w:val="16"/>
      <w:szCs w:val="16"/>
    </w:rPr>
  </w:style>
  <w:style w:type="character" w:customStyle="1" w:styleId="BalloonTextChar">
    <w:name w:val="Balloon Text Char"/>
    <w:link w:val="BalloonText"/>
    <w:uiPriority w:val="99"/>
    <w:semiHidden/>
    <w:rsid w:val="00205074"/>
    <w:rPr>
      <w:rFonts w:cs="Tahoma"/>
      <w:bCs/>
      <w:sz w:val="16"/>
      <w:szCs w:val="16"/>
      <w:lang w:val="en-US" w:eastAsia="es-ES"/>
    </w:rPr>
  </w:style>
  <w:style w:type="paragraph" w:customStyle="1" w:styleId="table">
    <w:name w:val="table"/>
    <w:aliases w:val="t"/>
    <w:basedOn w:val="Normal"/>
    <w:qFormat/>
    <w:rsid w:val="00777487"/>
    <w:pPr>
      <w:spacing w:before="80" w:after="80"/>
    </w:pPr>
  </w:style>
  <w:style w:type="paragraph" w:customStyle="1" w:styleId="tableheading">
    <w:name w:val="table heading"/>
    <w:aliases w:val="th"/>
    <w:basedOn w:val="table"/>
    <w:qFormat/>
    <w:rsid w:val="00F25952"/>
    <w:pPr>
      <w:keepNext/>
    </w:pPr>
    <w:rPr>
      <w:rFonts w:ascii="Tahoma" w:hAnsi="Tahoma"/>
      <w:b/>
      <w:color w:val="004386"/>
      <w:sz w:val="20"/>
      <w:szCs w:val="22"/>
    </w:rPr>
  </w:style>
  <w:style w:type="paragraph" w:customStyle="1" w:styleId="bullet">
    <w:name w:val="bullet"/>
    <w:aliases w:val="b"/>
    <w:basedOn w:val="Normal"/>
    <w:qFormat/>
    <w:rsid w:val="00712B47"/>
    <w:pPr>
      <w:numPr>
        <w:numId w:val="16"/>
      </w:numPr>
      <w:spacing w:before="40"/>
    </w:pPr>
  </w:style>
  <w:style w:type="paragraph" w:customStyle="1" w:styleId="tablebullet">
    <w:name w:val="table bullet"/>
    <w:aliases w:val="tb"/>
    <w:basedOn w:val="table"/>
    <w:qFormat/>
    <w:rsid w:val="00205074"/>
    <w:pPr>
      <w:numPr>
        <w:numId w:val="17"/>
      </w:numPr>
      <w:ind w:left="284" w:hanging="284"/>
    </w:pPr>
  </w:style>
  <w:style w:type="paragraph" w:styleId="Header">
    <w:name w:val="header"/>
    <w:basedOn w:val="Normal"/>
    <w:link w:val="HeaderChar"/>
    <w:uiPriority w:val="99"/>
    <w:unhideWhenUsed/>
    <w:rsid w:val="00891199"/>
    <w:pPr>
      <w:pBdr>
        <w:bottom w:val="single" w:sz="4" w:space="4" w:color="004386"/>
      </w:pBdr>
      <w:tabs>
        <w:tab w:val="right" w:pos="9356"/>
      </w:tabs>
      <w:spacing w:before="0" w:line="240" w:lineRule="auto"/>
      <w:jc w:val="right"/>
    </w:pPr>
    <w:rPr>
      <w:rFonts w:ascii="Tahoma" w:hAnsi="Tahoma" w:cs="Tahoma"/>
      <w:b/>
      <w:color w:val="579305"/>
      <w:sz w:val="24"/>
    </w:rPr>
  </w:style>
  <w:style w:type="character" w:customStyle="1" w:styleId="HeaderChar">
    <w:name w:val="Header Char"/>
    <w:link w:val="Header"/>
    <w:uiPriority w:val="99"/>
    <w:rsid w:val="00891199"/>
    <w:rPr>
      <w:rFonts w:ascii="Tahoma" w:hAnsi="Tahoma" w:cs="Tahoma"/>
      <w:b/>
      <w:bCs/>
      <w:color w:val="579305"/>
      <w:sz w:val="24"/>
      <w:szCs w:val="24"/>
      <w:lang w:val="en-US" w:eastAsia="es-ES"/>
    </w:rPr>
  </w:style>
  <w:style w:type="paragraph" w:styleId="Footer">
    <w:name w:val="footer"/>
    <w:basedOn w:val="Normal"/>
    <w:link w:val="FooterChar"/>
    <w:uiPriority w:val="99"/>
    <w:unhideWhenUsed/>
    <w:rsid w:val="00F51600"/>
    <w:pPr>
      <w:pBdr>
        <w:top w:val="single" w:sz="4" w:space="4" w:color="004386"/>
      </w:pBdr>
      <w:tabs>
        <w:tab w:val="right" w:pos="9356"/>
      </w:tabs>
      <w:spacing w:before="0" w:line="240" w:lineRule="auto"/>
    </w:pPr>
    <w:rPr>
      <w:rFonts w:ascii="Tahoma" w:hAnsi="Tahoma" w:cs="Tahoma"/>
      <w:color w:val="004386"/>
      <w:sz w:val="18"/>
      <w:szCs w:val="18"/>
    </w:rPr>
  </w:style>
  <w:style w:type="character" w:customStyle="1" w:styleId="FooterChar">
    <w:name w:val="Footer Char"/>
    <w:link w:val="Footer"/>
    <w:uiPriority w:val="99"/>
    <w:rsid w:val="00F51600"/>
    <w:rPr>
      <w:rFonts w:ascii="Tahoma" w:hAnsi="Tahoma" w:cs="Tahoma"/>
      <w:bCs/>
      <w:color w:val="004386"/>
      <w:sz w:val="18"/>
      <w:szCs w:val="18"/>
      <w:lang w:val="en-US" w:eastAsia="es-ES"/>
    </w:rPr>
  </w:style>
  <w:style w:type="character" w:styleId="PageNumber">
    <w:name w:val="page number"/>
    <w:uiPriority w:val="99"/>
    <w:semiHidden/>
    <w:unhideWhenUsed/>
    <w:rsid w:val="00205074"/>
    <w:rPr>
      <w:rFonts w:ascii="Calibri" w:hAnsi="Calibri"/>
    </w:rPr>
  </w:style>
  <w:style w:type="character" w:styleId="FollowedHyperlink">
    <w:name w:val="FollowedHyperlink"/>
    <w:uiPriority w:val="99"/>
    <w:semiHidden/>
    <w:unhideWhenUsed/>
    <w:rsid w:val="00205074"/>
    <w:rPr>
      <w:color w:val="004386"/>
      <w:u w:val="single"/>
    </w:rPr>
  </w:style>
  <w:style w:type="paragraph" w:customStyle="1" w:styleId="subbullet">
    <w:name w:val="sub bullet"/>
    <w:aliases w:val="s"/>
    <w:basedOn w:val="Normal"/>
    <w:qFormat/>
    <w:rsid w:val="00DE202F"/>
    <w:pPr>
      <w:numPr>
        <w:numId w:val="19"/>
      </w:numPr>
      <w:ind w:left="568"/>
    </w:pPr>
  </w:style>
  <w:style w:type="paragraph" w:styleId="FootnoteText">
    <w:name w:val="footnote text"/>
    <w:basedOn w:val="Normal"/>
    <w:link w:val="FootnoteTextChar"/>
    <w:uiPriority w:val="99"/>
    <w:unhideWhenUsed/>
    <w:rsid w:val="00712B47"/>
    <w:pPr>
      <w:keepLines/>
      <w:spacing w:before="0" w:line="240" w:lineRule="auto"/>
    </w:pPr>
    <w:rPr>
      <w:bCs w:val="0"/>
      <w:sz w:val="20"/>
      <w:lang w:eastAsia="en-US"/>
    </w:rPr>
  </w:style>
  <w:style w:type="character" w:customStyle="1" w:styleId="FootnoteTextChar">
    <w:name w:val="Footnote Text Char"/>
    <w:link w:val="FootnoteText"/>
    <w:uiPriority w:val="99"/>
    <w:rsid w:val="00712B47"/>
    <w:rPr>
      <w:rFonts w:eastAsia="Times New Roman"/>
      <w:szCs w:val="24"/>
      <w:lang w:val="en-GB"/>
    </w:rPr>
  </w:style>
  <w:style w:type="character" w:styleId="FootnoteReference">
    <w:name w:val="footnote reference"/>
    <w:uiPriority w:val="99"/>
    <w:unhideWhenUsed/>
    <w:rsid w:val="00267AF2"/>
    <w:rPr>
      <w:vertAlign w:val="superscript"/>
    </w:rPr>
  </w:style>
  <w:style w:type="paragraph" w:customStyle="1" w:styleId="bigtable">
    <w:name w:val="big table"/>
    <w:basedOn w:val="table"/>
    <w:qFormat/>
    <w:rsid w:val="00BB75BC"/>
    <w:pPr>
      <w:spacing w:before="40" w:after="40" w:line="280" w:lineRule="atLeast"/>
      <w:jc w:val="center"/>
    </w:pPr>
    <w:rPr>
      <w:rFonts w:ascii="Tahoma" w:hAnsi="Tahoma"/>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www.irinnews.org/in-depth/70567/31/united-kingdom-irin-interview-with-james-darcy" TargetMode="Externa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2068</Words>
  <Characters>11792</Characters>
  <Application>Microsoft Office Word</Application>
  <DocSecurity>0</DocSecurity>
  <Lines>98</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13833</CharactersWithSpaces>
  <SharedDoc>false</SharedDoc>
  <HLinks>
    <vt:vector size="6" baseType="variant">
      <vt:variant>
        <vt:i4>655424</vt:i4>
      </vt:variant>
      <vt:variant>
        <vt:i4>0</vt:i4>
      </vt:variant>
      <vt:variant>
        <vt:i4>0</vt:i4>
      </vt:variant>
      <vt:variant>
        <vt:i4>5</vt:i4>
      </vt:variant>
      <vt:variant>
        <vt:lpwstr>http://www.irinnews.org/in-depth/70567/31/united-kingdom-irin-interview-with-james-darcy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cp:lastModifiedBy>CeciliaFurtade</cp:lastModifiedBy>
  <cp:revision>5</cp:revision>
  <cp:lastPrinted>2015-01-05T10:17:00Z</cp:lastPrinted>
  <dcterms:created xsi:type="dcterms:W3CDTF">2015-01-26T20:34:00Z</dcterms:created>
  <dcterms:modified xsi:type="dcterms:W3CDTF">2015-02-10T11:32:00Z</dcterms:modified>
</cp:coreProperties>
</file>